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3012" w14:textId="136B50D1" w:rsidR="009A41DE" w:rsidRPr="00D912A2" w:rsidRDefault="00D912A2" w:rsidP="00D912A2">
      <w:pPr>
        <w:pStyle w:val="Heading1"/>
      </w:pPr>
      <w:r w:rsidRPr="00D912A2">
        <w:t xml:space="preserve">Express CES </w:t>
      </w:r>
      <w:bookmarkStart w:id="0" w:name="_Toc75439389"/>
      <w:bookmarkStart w:id="1" w:name="_Hlk75504953"/>
    </w:p>
    <w:p w14:paraId="0512F469" w14:textId="7BA6E5F5" w:rsidR="009A41DE" w:rsidRPr="00521D6E" w:rsidRDefault="00D912A2" w:rsidP="009A41DE">
      <w:pPr>
        <w:spacing w:after="0" w:line="360" w:lineRule="auto"/>
        <w:rPr>
          <w:rFonts w:ascii="Sunset Medium" w:hAnsi="Sunset Medium"/>
          <w:b/>
          <w:bCs/>
          <w:color w:val="002E3B" w:themeColor="text1"/>
          <w:sz w:val="32"/>
          <w:szCs w:val="32"/>
        </w:rPr>
      </w:pPr>
      <w:r w:rsidRPr="00521D6E">
        <w:rPr>
          <w:rFonts w:ascii="Sunset Medium" w:hAnsi="Sunset Medium"/>
          <w:b/>
          <w:bCs/>
          <w:color w:val="002E3B" w:themeColor="text1"/>
          <w:sz w:val="32"/>
          <w:szCs w:val="32"/>
        </w:rPr>
        <w:t xml:space="preserve">Credit, Pricing and Locking </w:t>
      </w:r>
    </w:p>
    <w:p w14:paraId="4001CA0F" w14:textId="77777777" w:rsidR="00D912A2" w:rsidRPr="00521D6E" w:rsidRDefault="00D912A2" w:rsidP="00D912A2">
      <w:pPr>
        <w:numPr>
          <w:ilvl w:val="0"/>
          <w:numId w:val="19"/>
        </w:numPr>
        <w:spacing w:before="100" w:beforeAutospacing="1" w:after="100" w:afterAutospacing="1" w:line="300" w:lineRule="atLeast"/>
        <w:contextualSpacing w:val="0"/>
        <w:rPr>
          <w:rFonts w:eastAsia="Times New Roman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>Is the initial credit pull a soft pull?</w:t>
      </w:r>
    </w:p>
    <w:p w14:paraId="2D9131ED" w14:textId="017E27B2" w:rsidR="00D912A2" w:rsidRPr="00521D6E" w:rsidRDefault="00D912A2" w:rsidP="00D912A2">
      <w:pPr>
        <w:numPr>
          <w:ilvl w:val="1"/>
          <w:numId w:val="19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color w:val="002E3B" w:themeColor="text1"/>
          <w:sz w:val="22"/>
        </w:rPr>
        <w:t>Yes. The initial credit pull is a single-bureau soft credit pull. Prior to submission to underwriting, a tri-merge credit report will be ordered by the internal team.</w:t>
      </w:r>
      <w:r w:rsidRPr="00521D6E">
        <w:rPr>
          <w:rFonts w:ascii="Segoe UI" w:eastAsia="Times New Roman" w:hAnsi="Segoe UI" w:cs="Segoe UI"/>
          <w:color w:val="002E3B" w:themeColor="text1"/>
          <w:sz w:val="22"/>
        </w:rPr>
        <w:br/>
      </w:r>
    </w:p>
    <w:p w14:paraId="7418BAF7" w14:textId="23B568B2" w:rsidR="00D912A2" w:rsidRPr="00521D6E" w:rsidRDefault="00D912A2" w:rsidP="00D912A2">
      <w:pPr>
        <w:numPr>
          <w:ilvl w:val="0"/>
          <w:numId w:val="19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b/>
          <w:bCs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>If a hard credit pull has already been completed by the broker, can it be reissued in the Newrez system instead of the soft pull?</w:t>
      </w:r>
    </w:p>
    <w:p w14:paraId="73C9975B" w14:textId="5FC57F86" w:rsidR="00D912A2" w:rsidRPr="00521D6E" w:rsidRDefault="00D912A2" w:rsidP="00D912A2">
      <w:pPr>
        <w:numPr>
          <w:ilvl w:val="1"/>
          <w:numId w:val="19"/>
        </w:numPr>
        <w:spacing w:before="100" w:beforeAutospacing="1" w:after="100" w:afterAutospacing="1" w:line="300" w:lineRule="atLeast"/>
        <w:contextualSpacing w:val="0"/>
        <w:rPr>
          <w:rFonts w:eastAsia="Times New Roman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color w:val="002E3B" w:themeColor="text1"/>
          <w:sz w:val="22"/>
        </w:rPr>
        <w:t>Not for the second mortgage program. The credit report obtained through Newrez will be used.</w:t>
      </w:r>
      <w:r w:rsidRPr="00521D6E">
        <w:rPr>
          <w:rFonts w:ascii="Segoe UI" w:eastAsia="Times New Roman" w:hAnsi="Segoe UI" w:cs="Segoe UI"/>
          <w:color w:val="002E3B" w:themeColor="text1"/>
          <w:sz w:val="22"/>
        </w:rPr>
        <w:br/>
      </w:r>
    </w:p>
    <w:p w14:paraId="17C06131" w14:textId="77777777" w:rsidR="00D912A2" w:rsidRPr="00521D6E" w:rsidRDefault="00D912A2" w:rsidP="00D912A2">
      <w:pPr>
        <w:numPr>
          <w:ilvl w:val="0"/>
          <w:numId w:val="19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>Will the broker’s credit score be used for pricing?</w:t>
      </w:r>
    </w:p>
    <w:p w14:paraId="4A5D5444" w14:textId="36BA29CC" w:rsidR="00D912A2" w:rsidRPr="00521D6E" w:rsidRDefault="00D912A2" w:rsidP="00D912A2">
      <w:pPr>
        <w:numPr>
          <w:ilvl w:val="1"/>
          <w:numId w:val="19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color w:val="002E3B" w:themeColor="text1"/>
          <w:sz w:val="22"/>
        </w:rPr>
        <w:t xml:space="preserve">No. Pricing will be based on the credit score obtained from </w:t>
      </w:r>
      <w:proofErr w:type="gramStart"/>
      <w:r w:rsidRPr="00521D6E">
        <w:rPr>
          <w:rFonts w:ascii="Segoe UI" w:eastAsia="Times New Roman" w:hAnsi="Segoe UI" w:cs="Segoe UI"/>
          <w:color w:val="002E3B" w:themeColor="text1"/>
          <w:sz w:val="22"/>
        </w:rPr>
        <w:t>the Newrez</w:t>
      </w:r>
      <w:proofErr w:type="gramEnd"/>
      <w:r w:rsidRPr="00521D6E">
        <w:rPr>
          <w:rFonts w:ascii="Segoe UI" w:eastAsia="Times New Roman" w:hAnsi="Segoe UI" w:cs="Segoe UI"/>
          <w:color w:val="002E3B" w:themeColor="text1"/>
          <w:sz w:val="22"/>
        </w:rPr>
        <w:t xml:space="preserve"> soft credit pull.</w:t>
      </w:r>
      <w:r w:rsidRPr="00521D6E">
        <w:rPr>
          <w:rFonts w:ascii="Segoe UI" w:eastAsia="Times New Roman" w:hAnsi="Segoe UI" w:cs="Segoe UI"/>
          <w:color w:val="002E3B" w:themeColor="text1"/>
          <w:sz w:val="22"/>
        </w:rPr>
        <w:br/>
      </w:r>
    </w:p>
    <w:p w14:paraId="797688C5" w14:textId="77777777" w:rsidR="00D912A2" w:rsidRPr="00521D6E" w:rsidRDefault="00D912A2" w:rsidP="00D912A2">
      <w:pPr>
        <w:numPr>
          <w:ilvl w:val="0"/>
          <w:numId w:val="19"/>
        </w:numPr>
        <w:spacing w:before="100" w:beforeAutospacing="1" w:after="100" w:afterAutospacing="1" w:line="300" w:lineRule="atLeast"/>
        <w:contextualSpacing w:val="0"/>
        <w:rPr>
          <w:rFonts w:eastAsia="Times New Roman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 xml:space="preserve">Can loans be submitted to underwriting without locking? </w:t>
      </w:r>
    </w:p>
    <w:p w14:paraId="5369E620" w14:textId="1EE24E8E" w:rsidR="00D912A2" w:rsidRPr="00521D6E" w:rsidRDefault="00D912A2" w:rsidP="00D912A2">
      <w:pPr>
        <w:numPr>
          <w:ilvl w:val="1"/>
          <w:numId w:val="19"/>
        </w:numPr>
        <w:spacing w:before="100" w:beforeAutospacing="1" w:after="100" w:afterAutospacing="1" w:line="300" w:lineRule="atLeast"/>
        <w:contextualSpacing w:val="0"/>
        <w:rPr>
          <w:rFonts w:eastAsia="Times New Roman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color w:val="002E3B" w:themeColor="text1"/>
          <w:sz w:val="22"/>
        </w:rPr>
        <w:t xml:space="preserve">No, loans must be </w:t>
      </w:r>
      <w:proofErr w:type="gramStart"/>
      <w:r w:rsidRPr="00521D6E">
        <w:rPr>
          <w:rFonts w:ascii="Segoe UI" w:eastAsia="Times New Roman" w:hAnsi="Segoe UI" w:cs="Segoe UI"/>
          <w:color w:val="002E3B" w:themeColor="text1"/>
          <w:sz w:val="22"/>
        </w:rPr>
        <w:t>locked</w:t>
      </w:r>
      <w:proofErr w:type="gramEnd"/>
      <w:r w:rsidRPr="00521D6E">
        <w:rPr>
          <w:rFonts w:ascii="Segoe UI" w:eastAsia="Times New Roman" w:hAnsi="Segoe UI" w:cs="Segoe UI"/>
          <w:color w:val="002E3B" w:themeColor="text1"/>
          <w:sz w:val="22"/>
        </w:rPr>
        <w:t xml:space="preserve"> prior to submission to underwriting.</w:t>
      </w:r>
      <w:r w:rsidRPr="00521D6E">
        <w:rPr>
          <w:rFonts w:ascii="Segoe UI" w:eastAsia="Times New Roman" w:hAnsi="Segoe UI" w:cs="Segoe UI"/>
          <w:color w:val="002E3B" w:themeColor="text1"/>
          <w:sz w:val="22"/>
        </w:rPr>
        <w:br/>
      </w:r>
    </w:p>
    <w:p w14:paraId="20AE3D82" w14:textId="77777777" w:rsidR="00D912A2" w:rsidRPr="00521D6E" w:rsidRDefault="00D912A2" w:rsidP="00D912A2">
      <w:pPr>
        <w:numPr>
          <w:ilvl w:val="0"/>
          <w:numId w:val="19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>Will pricing default to a standard setting to avoid showing “No Products Available”?</w:t>
      </w:r>
    </w:p>
    <w:p w14:paraId="577A5C92" w14:textId="6AEC5016" w:rsidR="00D912A2" w:rsidRPr="00521D6E" w:rsidRDefault="00D912A2" w:rsidP="00D912A2">
      <w:pPr>
        <w:numPr>
          <w:ilvl w:val="1"/>
          <w:numId w:val="19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color w:val="002E3B" w:themeColor="text1"/>
          <w:sz w:val="22"/>
        </w:rPr>
        <w:t>Yes. Certain fields, including pricing terms, will default to a standard configuration to help streamline the process and reduce manual entry.</w:t>
      </w:r>
      <w:r w:rsidRPr="00521D6E">
        <w:rPr>
          <w:rFonts w:ascii="Segoe UI" w:eastAsia="Times New Roman" w:hAnsi="Segoe UI" w:cs="Segoe UI"/>
          <w:color w:val="002E3B" w:themeColor="text1"/>
          <w:sz w:val="22"/>
        </w:rPr>
        <w:br/>
      </w:r>
    </w:p>
    <w:p w14:paraId="0C3E3DA9" w14:textId="77777777" w:rsidR="00D912A2" w:rsidRPr="00521D6E" w:rsidRDefault="00D912A2" w:rsidP="00D912A2">
      <w:pPr>
        <w:numPr>
          <w:ilvl w:val="0"/>
          <w:numId w:val="19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 xml:space="preserve">Can brokers lock a loan quickly and upload documents later, </w:t>
      </w:r>
      <w:proofErr w:type="gramStart"/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>similar to</w:t>
      </w:r>
      <w:proofErr w:type="gramEnd"/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 xml:space="preserve"> first mortgages?</w:t>
      </w:r>
    </w:p>
    <w:p w14:paraId="4AD03018" w14:textId="06C9462B" w:rsidR="00D912A2" w:rsidRPr="00521D6E" w:rsidRDefault="00D912A2" w:rsidP="00D912A2">
      <w:pPr>
        <w:numPr>
          <w:ilvl w:val="1"/>
          <w:numId w:val="19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color w:val="002E3B" w:themeColor="text1"/>
          <w:sz w:val="22"/>
        </w:rPr>
        <w:t>Yes. However, the 3.4 File must be imported before proceeding with additional steps.</w:t>
      </w:r>
      <w:r w:rsidRPr="00521D6E">
        <w:rPr>
          <w:rFonts w:ascii="Segoe UI" w:eastAsia="Times New Roman" w:hAnsi="Segoe UI" w:cs="Segoe UI"/>
          <w:color w:val="002E3B" w:themeColor="text1"/>
          <w:sz w:val="22"/>
        </w:rPr>
        <w:br/>
      </w:r>
    </w:p>
    <w:p w14:paraId="2FD1EF4C" w14:textId="77777777" w:rsidR="00D912A2" w:rsidRPr="00521D6E" w:rsidRDefault="00D912A2" w:rsidP="00D912A2">
      <w:pPr>
        <w:numPr>
          <w:ilvl w:val="0"/>
          <w:numId w:val="19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>Is the lender fee waived?</w:t>
      </w:r>
    </w:p>
    <w:p w14:paraId="23D603A3" w14:textId="7295A1EE" w:rsidR="00D912A2" w:rsidRPr="00521D6E" w:rsidRDefault="00D912A2" w:rsidP="00D912A2">
      <w:pPr>
        <w:numPr>
          <w:ilvl w:val="1"/>
          <w:numId w:val="19"/>
        </w:numPr>
        <w:spacing w:before="100" w:beforeAutospacing="1" w:after="100" w:afterAutospacing="1" w:line="300" w:lineRule="atLeast"/>
        <w:contextualSpacing w:val="0"/>
        <w:rPr>
          <w:rFonts w:eastAsia="Times New Roman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color w:val="002E3B" w:themeColor="text1"/>
          <w:sz w:val="22"/>
        </w:rPr>
        <w:t>Yes, there is currently no lender administrative fee on this product. Fees are subject to change.</w:t>
      </w:r>
      <w:r w:rsidRPr="00521D6E">
        <w:rPr>
          <w:rFonts w:ascii="Segoe UI" w:eastAsia="Times New Roman" w:hAnsi="Segoe UI" w:cs="Segoe UI"/>
          <w:color w:val="002E3B" w:themeColor="text1"/>
          <w:sz w:val="22"/>
        </w:rPr>
        <w:br/>
      </w:r>
    </w:p>
    <w:p w14:paraId="64565390" w14:textId="77777777" w:rsidR="00D912A2" w:rsidRPr="00521D6E" w:rsidRDefault="00D912A2" w:rsidP="00D912A2">
      <w:pPr>
        <w:numPr>
          <w:ilvl w:val="0"/>
          <w:numId w:val="19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b/>
          <w:bCs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>What is the minimum credit score and loan amount?</w:t>
      </w:r>
    </w:p>
    <w:p w14:paraId="5ED0A2DD" w14:textId="77777777" w:rsidR="00D912A2" w:rsidRPr="00521D6E" w:rsidRDefault="00D912A2" w:rsidP="00D912A2">
      <w:pPr>
        <w:numPr>
          <w:ilvl w:val="1"/>
          <w:numId w:val="19"/>
        </w:numPr>
        <w:spacing w:before="100" w:beforeAutospacing="1" w:after="100" w:afterAutospacing="1" w:line="300" w:lineRule="atLeast"/>
        <w:contextualSpacing w:val="0"/>
        <w:rPr>
          <w:rFonts w:eastAsia="Times New Roman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color w:val="002E3B" w:themeColor="text1"/>
          <w:sz w:val="22"/>
        </w:rPr>
        <w:t xml:space="preserve">The current minimum credit score is 660, and the minimum loan amount Is $75,000. </w:t>
      </w:r>
    </w:p>
    <w:p w14:paraId="707132FF" w14:textId="77777777" w:rsidR="00D912A2" w:rsidRPr="00521D6E" w:rsidRDefault="00D912A2" w:rsidP="005812C0">
      <w:pPr>
        <w:spacing w:after="0" w:line="360" w:lineRule="auto"/>
        <w:rPr>
          <w:color w:val="002E3B" w:themeColor="text1"/>
          <w:sz w:val="22"/>
        </w:rPr>
      </w:pPr>
    </w:p>
    <w:p w14:paraId="6A089CEE" w14:textId="65D67C73" w:rsidR="00153D58" w:rsidRPr="00521D6E" w:rsidRDefault="00D912A2" w:rsidP="005812C0">
      <w:pPr>
        <w:spacing w:after="0" w:line="360" w:lineRule="auto"/>
        <w:rPr>
          <w:rFonts w:ascii="Sunset Medium" w:hAnsi="Sunset Medium"/>
          <w:b/>
          <w:bCs/>
          <w:color w:val="002E3B" w:themeColor="text1"/>
          <w:sz w:val="32"/>
          <w:szCs w:val="32"/>
        </w:rPr>
      </w:pPr>
      <w:r w:rsidRPr="00521D6E">
        <w:rPr>
          <w:rFonts w:ascii="Sunset Medium" w:hAnsi="Sunset Medium"/>
          <w:b/>
          <w:bCs/>
          <w:color w:val="002E3B" w:themeColor="text1"/>
          <w:sz w:val="32"/>
          <w:szCs w:val="32"/>
        </w:rPr>
        <w:t>Closing, Title and Broker Compensation</w:t>
      </w:r>
    </w:p>
    <w:p w14:paraId="50E7DC2C" w14:textId="77777777" w:rsidR="00D912A2" w:rsidRPr="00521D6E" w:rsidRDefault="00D912A2" w:rsidP="00D912A2">
      <w:pPr>
        <w:numPr>
          <w:ilvl w:val="0"/>
          <w:numId w:val="20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 xml:space="preserve">How does the closing process work, and how is broker compensation paid? </w:t>
      </w:r>
    </w:p>
    <w:p w14:paraId="69F66876" w14:textId="557BCEA2" w:rsidR="00D912A2" w:rsidRPr="00521D6E" w:rsidRDefault="00D912A2" w:rsidP="00D912A2">
      <w:pPr>
        <w:pStyle w:val="ListParagraph"/>
        <w:numPr>
          <w:ilvl w:val="1"/>
          <w:numId w:val="20"/>
        </w:numPr>
        <w:spacing w:before="100" w:beforeAutospacing="1" w:after="100" w:afterAutospacing="1" w:line="300" w:lineRule="atLeast"/>
        <w:rPr>
          <w:rFonts w:eastAsia="Times New Roman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color w:val="002E3B" w:themeColor="text1"/>
          <w:sz w:val="22"/>
        </w:rPr>
        <w:t xml:space="preserve">Closing will be scheduled by the processor in coordination with the borrower. Closings are typically conducted with a mobile notary. Broker compensation is disbursed by the </w:t>
      </w:r>
      <w:r w:rsidRPr="00521D6E">
        <w:rPr>
          <w:rFonts w:ascii="Segoe UI" w:eastAsia="Times New Roman" w:hAnsi="Segoe UI" w:cs="Segoe UI"/>
          <w:color w:val="002E3B" w:themeColor="text1"/>
          <w:sz w:val="22"/>
        </w:rPr>
        <w:lastRenderedPageBreak/>
        <w:t xml:space="preserve">Settlement Agent in accordance with standard practices. </w:t>
      </w:r>
      <w:r w:rsidRPr="00521D6E">
        <w:rPr>
          <w:rFonts w:ascii="Segoe UI" w:eastAsia="Times New Roman" w:hAnsi="Segoe UI" w:cs="Segoe UI"/>
          <w:color w:val="002E3B" w:themeColor="text1"/>
          <w:sz w:val="22"/>
        </w:rPr>
        <w:br/>
      </w:r>
    </w:p>
    <w:p w14:paraId="2D1266F6" w14:textId="77777777" w:rsidR="00D912A2" w:rsidRPr="00521D6E" w:rsidRDefault="00D912A2" w:rsidP="00D912A2">
      <w:pPr>
        <w:numPr>
          <w:ilvl w:val="0"/>
          <w:numId w:val="20"/>
        </w:numPr>
        <w:spacing w:before="100" w:beforeAutospacing="1" w:after="100" w:afterAutospacing="1" w:line="300" w:lineRule="atLeast"/>
        <w:contextualSpacing w:val="0"/>
        <w:rPr>
          <w:rFonts w:eastAsia="Times New Roman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 xml:space="preserve">Is Newrez </w:t>
      </w:r>
      <w:proofErr w:type="spellStart"/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>TitlePass</w:t>
      </w:r>
      <w:proofErr w:type="spellEnd"/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 xml:space="preserve"> available for second mortgages?</w:t>
      </w:r>
    </w:p>
    <w:p w14:paraId="3604BB04" w14:textId="61550469" w:rsidR="00D912A2" w:rsidRPr="00521D6E" w:rsidRDefault="00D912A2" w:rsidP="00D912A2">
      <w:pPr>
        <w:pStyle w:val="ListParagraph"/>
        <w:numPr>
          <w:ilvl w:val="1"/>
          <w:numId w:val="20"/>
        </w:numPr>
        <w:spacing w:before="100" w:beforeAutospacing="1" w:after="100" w:afterAutospacing="1" w:line="300" w:lineRule="atLeast"/>
        <w:rPr>
          <w:rFonts w:eastAsia="Times New Roman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color w:val="002E3B" w:themeColor="text1"/>
          <w:sz w:val="22"/>
        </w:rPr>
        <w:t xml:space="preserve">No, Newrez </w:t>
      </w:r>
      <w:proofErr w:type="spellStart"/>
      <w:r w:rsidRPr="00521D6E">
        <w:rPr>
          <w:rFonts w:ascii="Segoe UI" w:eastAsia="Times New Roman" w:hAnsi="Segoe UI" w:cs="Segoe UI"/>
          <w:color w:val="002E3B" w:themeColor="text1"/>
          <w:sz w:val="22"/>
        </w:rPr>
        <w:t>TitlePass</w:t>
      </w:r>
      <w:proofErr w:type="spellEnd"/>
      <w:r w:rsidRPr="00521D6E">
        <w:rPr>
          <w:rFonts w:ascii="Segoe UI" w:eastAsia="Times New Roman" w:hAnsi="Segoe UI" w:cs="Segoe UI"/>
          <w:color w:val="002E3B" w:themeColor="text1"/>
          <w:sz w:val="22"/>
        </w:rPr>
        <w:t xml:space="preserve"> is currently only available on eligible conventional first mortgage</w:t>
      </w:r>
      <w:r w:rsidR="000E0620">
        <w:rPr>
          <w:rFonts w:ascii="Segoe UI" w:eastAsia="Times New Roman" w:hAnsi="Segoe UI" w:cs="Segoe UI"/>
          <w:color w:val="002E3B" w:themeColor="text1"/>
          <w:sz w:val="22"/>
        </w:rPr>
        <w:t xml:space="preserve"> refinance </w:t>
      </w:r>
      <w:r w:rsidRPr="00521D6E">
        <w:rPr>
          <w:rFonts w:ascii="Segoe UI" w:eastAsia="Times New Roman" w:hAnsi="Segoe UI" w:cs="Segoe UI"/>
          <w:color w:val="002E3B" w:themeColor="text1"/>
          <w:sz w:val="22"/>
        </w:rPr>
        <w:t>transactions.</w:t>
      </w:r>
      <w:r w:rsidRPr="00521D6E">
        <w:rPr>
          <w:rFonts w:ascii="Segoe UI" w:eastAsia="Times New Roman" w:hAnsi="Segoe UI" w:cs="Segoe UI"/>
          <w:color w:val="002E3B" w:themeColor="text1"/>
          <w:sz w:val="22"/>
        </w:rPr>
        <w:br/>
      </w:r>
    </w:p>
    <w:p w14:paraId="6E876583" w14:textId="77777777" w:rsidR="00D912A2" w:rsidRPr="00521D6E" w:rsidRDefault="00D912A2" w:rsidP="00D912A2">
      <w:pPr>
        <w:numPr>
          <w:ilvl w:val="0"/>
          <w:numId w:val="20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>Can brokers choose their own title company?</w:t>
      </w:r>
    </w:p>
    <w:p w14:paraId="5B4E435B" w14:textId="632B6AF0" w:rsidR="00D912A2" w:rsidRPr="00521D6E" w:rsidRDefault="00D912A2" w:rsidP="00D912A2">
      <w:pPr>
        <w:numPr>
          <w:ilvl w:val="1"/>
          <w:numId w:val="20"/>
        </w:numPr>
        <w:spacing w:before="100" w:beforeAutospacing="1" w:after="100" w:afterAutospacing="1" w:line="300" w:lineRule="atLeast"/>
        <w:contextualSpacing w:val="0"/>
        <w:rPr>
          <w:rFonts w:eastAsia="Times New Roman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color w:val="002E3B" w:themeColor="text1"/>
          <w:sz w:val="22"/>
        </w:rPr>
        <w:t xml:space="preserve">No, these loans will utilize </w:t>
      </w:r>
      <w:r w:rsidR="000E0620">
        <w:rPr>
          <w:rFonts w:ascii="Segoe UI" w:eastAsia="Times New Roman" w:hAnsi="Segoe UI" w:cs="Segoe UI"/>
          <w:color w:val="002E3B" w:themeColor="text1"/>
          <w:sz w:val="22"/>
        </w:rPr>
        <w:t xml:space="preserve">Newrez </w:t>
      </w:r>
      <w:r w:rsidRPr="00521D6E">
        <w:rPr>
          <w:rFonts w:ascii="Segoe UI" w:eastAsia="Times New Roman" w:hAnsi="Segoe UI" w:cs="Segoe UI"/>
          <w:color w:val="002E3B" w:themeColor="text1"/>
          <w:sz w:val="22"/>
        </w:rPr>
        <w:t xml:space="preserve">approved national title providers (Avenue 365, Mortgage Connect, </w:t>
      </w:r>
      <w:proofErr w:type="spellStart"/>
      <w:r w:rsidRPr="00521D6E">
        <w:rPr>
          <w:rFonts w:ascii="Segoe UI" w:eastAsia="Times New Roman" w:hAnsi="Segoe UI" w:cs="Segoe UI"/>
          <w:color w:val="002E3B" w:themeColor="text1"/>
          <w:sz w:val="22"/>
        </w:rPr>
        <w:t>Vylla</w:t>
      </w:r>
      <w:proofErr w:type="spellEnd"/>
      <w:r w:rsidRPr="00521D6E">
        <w:rPr>
          <w:rFonts w:ascii="Segoe UI" w:eastAsia="Times New Roman" w:hAnsi="Segoe UI" w:cs="Segoe UI"/>
          <w:color w:val="002E3B" w:themeColor="text1"/>
          <w:sz w:val="22"/>
        </w:rPr>
        <w:t>).</w:t>
      </w:r>
      <w:r w:rsidRPr="00521D6E">
        <w:rPr>
          <w:rFonts w:ascii="Segoe UI" w:eastAsia="Times New Roman" w:hAnsi="Segoe UI" w:cs="Segoe UI"/>
          <w:color w:val="002E3B" w:themeColor="text1"/>
          <w:sz w:val="22"/>
        </w:rPr>
        <w:br/>
      </w:r>
    </w:p>
    <w:p w14:paraId="647AE222" w14:textId="77777777" w:rsidR="00D912A2" w:rsidRPr="00521D6E" w:rsidRDefault="00D912A2" w:rsidP="00D912A2">
      <w:pPr>
        <w:numPr>
          <w:ilvl w:val="0"/>
          <w:numId w:val="20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>Will partners have access to the signed closing package for quality control purposes?</w:t>
      </w:r>
    </w:p>
    <w:p w14:paraId="33063A02" w14:textId="1B3CA500" w:rsidR="009B5137" w:rsidRPr="00521D6E" w:rsidRDefault="00D912A2" w:rsidP="00D912A2">
      <w:pPr>
        <w:numPr>
          <w:ilvl w:val="1"/>
          <w:numId w:val="20"/>
        </w:numPr>
        <w:spacing w:before="100" w:beforeAutospacing="1" w:after="100" w:afterAutospacing="1" w:line="300" w:lineRule="atLeast"/>
        <w:contextualSpacing w:val="0"/>
        <w:rPr>
          <w:rFonts w:eastAsia="Times New Roman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color w:val="002E3B" w:themeColor="text1"/>
          <w:sz w:val="22"/>
        </w:rPr>
        <w:t>Yes, the signed package will be available through Blueprint.</w:t>
      </w:r>
    </w:p>
    <w:p w14:paraId="4678EB3D" w14:textId="41BE5E11" w:rsidR="007E165F" w:rsidRPr="00521D6E" w:rsidRDefault="00D912A2" w:rsidP="007E165F">
      <w:pPr>
        <w:spacing w:after="0" w:line="360" w:lineRule="auto"/>
        <w:rPr>
          <w:rFonts w:ascii="Sunset Medium" w:hAnsi="Sunset Medium"/>
          <w:b/>
          <w:bCs/>
          <w:color w:val="002E3B" w:themeColor="text1"/>
          <w:sz w:val="32"/>
          <w:szCs w:val="32"/>
        </w:rPr>
      </w:pPr>
      <w:r w:rsidRPr="00521D6E">
        <w:rPr>
          <w:rFonts w:ascii="Sunset Medium" w:hAnsi="Sunset Medium"/>
          <w:b/>
          <w:bCs/>
          <w:color w:val="002E3B" w:themeColor="text1"/>
          <w:sz w:val="32"/>
          <w:szCs w:val="32"/>
        </w:rPr>
        <w:t xml:space="preserve">Broker Compensation </w:t>
      </w:r>
    </w:p>
    <w:p w14:paraId="522412D9" w14:textId="77777777" w:rsidR="00D912A2" w:rsidRPr="00521D6E" w:rsidRDefault="00D912A2" w:rsidP="00D912A2">
      <w:pPr>
        <w:numPr>
          <w:ilvl w:val="0"/>
          <w:numId w:val="20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b/>
          <w:bCs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>How is broker compensation structured?</w:t>
      </w:r>
    </w:p>
    <w:p w14:paraId="031793EB" w14:textId="78FDAC3F" w:rsidR="007E165F" w:rsidRPr="00521D6E" w:rsidRDefault="00D912A2" w:rsidP="00D912A2">
      <w:pPr>
        <w:numPr>
          <w:ilvl w:val="1"/>
          <w:numId w:val="20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b/>
          <w:bCs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color w:val="002E3B" w:themeColor="text1"/>
          <w:sz w:val="22"/>
        </w:rPr>
        <w:t xml:space="preserve">This product is currently offered as a brokered loan. Compensation follows first mortgage origination guidelines and may be structured as borrower-paid or lender-paid compensation, depending on applicable state regulations. Certain states may require lender-paid compensation only. </w:t>
      </w:r>
    </w:p>
    <w:p w14:paraId="0E16BF37" w14:textId="3F2E65B7" w:rsidR="00C12A58" w:rsidRPr="00521D6E" w:rsidRDefault="00D912A2" w:rsidP="00D912A2">
      <w:pPr>
        <w:spacing w:after="0" w:line="360" w:lineRule="auto"/>
        <w:rPr>
          <w:rFonts w:ascii="Sunset Medium" w:hAnsi="Sunset Medium"/>
          <w:b/>
          <w:bCs/>
          <w:color w:val="002E3B" w:themeColor="text1"/>
          <w:sz w:val="32"/>
          <w:szCs w:val="32"/>
        </w:rPr>
      </w:pPr>
      <w:r w:rsidRPr="00521D6E">
        <w:rPr>
          <w:rFonts w:ascii="Sunset Medium" w:hAnsi="Sunset Medium"/>
          <w:b/>
          <w:bCs/>
          <w:color w:val="002E3B" w:themeColor="text1"/>
          <w:sz w:val="32"/>
          <w:szCs w:val="32"/>
        </w:rPr>
        <w:t>Processing, Conditions and Workflow</w:t>
      </w:r>
    </w:p>
    <w:p w14:paraId="55C40073" w14:textId="77777777" w:rsidR="00D912A2" w:rsidRPr="00521D6E" w:rsidRDefault="00D912A2" w:rsidP="00D912A2">
      <w:pPr>
        <w:numPr>
          <w:ilvl w:val="0"/>
          <w:numId w:val="21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>Are brokers required to pull credit to submit a loan?</w:t>
      </w:r>
    </w:p>
    <w:p w14:paraId="762E7E7B" w14:textId="34D584F1" w:rsidR="00D912A2" w:rsidRPr="00521D6E" w:rsidRDefault="00D912A2" w:rsidP="00D912A2">
      <w:pPr>
        <w:numPr>
          <w:ilvl w:val="1"/>
          <w:numId w:val="21"/>
        </w:numPr>
        <w:spacing w:before="100" w:beforeAutospacing="1" w:after="100" w:afterAutospacing="1" w:line="300" w:lineRule="atLeast"/>
        <w:contextualSpacing w:val="0"/>
        <w:rPr>
          <w:rFonts w:eastAsia="Times New Roman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color w:val="002E3B" w:themeColor="text1"/>
          <w:sz w:val="22"/>
        </w:rPr>
        <w:t>Yes. As part of the registration process, the broker will order credit through Blueprint after the second lien product is assigned</w:t>
      </w:r>
      <w:r w:rsidRPr="00521D6E">
        <w:rPr>
          <w:rFonts w:eastAsia="Times New Roman"/>
          <w:color w:val="002E3B" w:themeColor="text1"/>
          <w:sz w:val="22"/>
        </w:rPr>
        <w:br/>
      </w:r>
    </w:p>
    <w:p w14:paraId="75AE4035" w14:textId="77777777" w:rsidR="00D912A2" w:rsidRPr="00521D6E" w:rsidRDefault="00D912A2" w:rsidP="00D912A2">
      <w:pPr>
        <w:numPr>
          <w:ilvl w:val="0"/>
          <w:numId w:val="21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>Where is credit imported and the scorecard run?</w:t>
      </w:r>
    </w:p>
    <w:p w14:paraId="38E21C7A" w14:textId="7E59DB80" w:rsidR="00D912A2" w:rsidRPr="00521D6E" w:rsidRDefault="00D912A2" w:rsidP="00D912A2">
      <w:pPr>
        <w:numPr>
          <w:ilvl w:val="1"/>
          <w:numId w:val="21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color w:val="002E3B" w:themeColor="text1"/>
          <w:sz w:val="22"/>
        </w:rPr>
        <w:t>Importing credit and running Loan Scorecard is not required for this program.</w:t>
      </w:r>
      <w:r w:rsidRPr="00521D6E">
        <w:rPr>
          <w:rFonts w:ascii="Segoe UI" w:eastAsia="Times New Roman" w:hAnsi="Segoe UI" w:cs="Segoe UI"/>
          <w:color w:val="002E3B" w:themeColor="text1"/>
          <w:sz w:val="22"/>
        </w:rPr>
        <w:br/>
      </w:r>
    </w:p>
    <w:p w14:paraId="556B4B76" w14:textId="77777777" w:rsidR="00D912A2" w:rsidRPr="00521D6E" w:rsidRDefault="00D912A2" w:rsidP="00D912A2">
      <w:pPr>
        <w:numPr>
          <w:ilvl w:val="0"/>
          <w:numId w:val="21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b/>
          <w:bCs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>Is an Automated Valuation Model (AVM) used for loan amounts under $350,000?</w:t>
      </w:r>
    </w:p>
    <w:p w14:paraId="103AD13A" w14:textId="5846C86A" w:rsidR="00D912A2" w:rsidRPr="00521D6E" w:rsidRDefault="00D912A2" w:rsidP="00D912A2">
      <w:pPr>
        <w:numPr>
          <w:ilvl w:val="1"/>
          <w:numId w:val="21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color w:val="002E3B" w:themeColor="text1"/>
          <w:sz w:val="22"/>
        </w:rPr>
        <w:t>Yes. The AVM requirement is based on the loan amount (≤ $350,000) rather than the property value.</w:t>
      </w:r>
      <w:r w:rsidRPr="00521D6E">
        <w:rPr>
          <w:rFonts w:ascii="Segoe UI" w:eastAsia="Times New Roman" w:hAnsi="Segoe UI" w:cs="Segoe UI"/>
          <w:color w:val="002E3B" w:themeColor="text1"/>
          <w:sz w:val="22"/>
        </w:rPr>
        <w:br/>
      </w:r>
    </w:p>
    <w:p w14:paraId="3B794C01" w14:textId="77777777" w:rsidR="00D912A2" w:rsidRPr="00521D6E" w:rsidRDefault="00D912A2" w:rsidP="00D912A2">
      <w:pPr>
        <w:numPr>
          <w:ilvl w:val="0"/>
          <w:numId w:val="21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>Will there be a designated processor each time or a rotation of several for partners?</w:t>
      </w:r>
    </w:p>
    <w:p w14:paraId="3765831A" w14:textId="2E8381B8" w:rsidR="00D912A2" w:rsidRPr="00521D6E" w:rsidRDefault="00D912A2" w:rsidP="00D912A2">
      <w:pPr>
        <w:numPr>
          <w:ilvl w:val="1"/>
          <w:numId w:val="21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color w:val="002E3B" w:themeColor="text1"/>
          <w:sz w:val="22"/>
        </w:rPr>
        <w:t xml:space="preserve">There is a dedicated processing team supporting these loans. Files are assigned on a rotating basis to ensure efficiency and coverage. </w:t>
      </w:r>
      <w:r w:rsidRPr="00521D6E">
        <w:rPr>
          <w:rFonts w:ascii="Segoe UI" w:eastAsia="Times New Roman" w:hAnsi="Segoe UI" w:cs="Segoe UI"/>
          <w:color w:val="002E3B" w:themeColor="text1"/>
          <w:sz w:val="22"/>
        </w:rPr>
        <w:br/>
      </w:r>
    </w:p>
    <w:p w14:paraId="4C6353E3" w14:textId="77777777" w:rsidR="00D912A2" w:rsidRPr="00521D6E" w:rsidRDefault="00D912A2" w:rsidP="00D912A2">
      <w:pPr>
        <w:numPr>
          <w:ilvl w:val="0"/>
          <w:numId w:val="21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 xml:space="preserve">Can brokers upload documents through Blueprint? </w:t>
      </w:r>
    </w:p>
    <w:p w14:paraId="19960455" w14:textId="06144950" w:rsidR="00D912A2" w:rsidRPr="00521D6E" w:rsidRDefault="00D912A2" w:rsidP="00D912A2">
      <w:pPr>
        <w:numPr>
          <w:ilvl w:val="1"/>
          <w:numId w:val="21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color w:val="002E3B" w:themeColor="text1"/>
          <w:sz w:val="22"/>
        </w:rPr>
        <w:lastRenderedPageBreak/>
        <w:t xml:space="preserve">No. In this process, documentation is collected directly from the borrower. Borrowers will upload required documents through the Home Loan Portal. </w:t>
      </w:r>
      <w:r w:rsidRPr="00521D6E">
        <w:rPr>
          <w:rFonts w:ascii="Segoe UI" w:eastAsia="Times New Roman" w:hAnsi="Segoe UI" w:cs="Segoe UI"/>
          <w:color w:val="002E3B" w:themeColor="text1"/>
          <w:sz w:val="22"/>
        </w:rPr>
        <w:br/>
      </w:r>
    </w:p>
    <w:p w14:paraId="2B30F4B1" w14:textId="77777777" w:rsidR="00D912A2" w:rsidRPr="00521D6E" w:rsidRDefault="00D912A2" w:rsidP="00D912A2">
      <w:pPr>
        <w:numPr>
          <w:ilvl w:val="0"/>
          <w:numId w:val="21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>Will brokers still have access to the Condition Panel?</w:t>
      </w:r>
    </w:p>
    <w:p w14:paraId="1027EC8A" w14:textId="534D30E4" w:rsidR="00D912A2" w:rsidRPr="00521D6E" w:rsidRDefault="00D912A2" w:rsidP="00D912A2">
      <w:pPr>
        <w:numPr>
          <w:ilvl w:val="1"/>
          <w:numId w:val="21"/>
        </w:numPr>
        <w:spacing w:before="100" w:beforeAutospacing="1" w:after="100" w:afterAutospacing="1" w:line="300" w:lineRule="atLeast"/>
        <w:contextualSpacing w:val="0"/>
        <w:rPr>
          <w:rFonts w:eastAsia="Times New Roman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color w:val="002E3B" w:themeColor="text1"/>
          <w:sz w:val="22"/>
        </w:rPr>
        <w:t xml:space="preserve">Yes. The Condition Panel will be available in </w:t>
      </w:r>
      <w:proofErr w:type="gramStart"/>
      <w:r w:rsidRPr="00521D6E">
        <w:rPr>
          <w:rFonts w:ascii="Segoe UI" w:eastAsia="Times New Roman" w:hAnsi="Segoe UI" w:cs="Segoe UI"/>
          <w:color w:val="002E3B" w:themeColor="text1"/>
          <w:sz w:val="22"/>
        </w:rPr>
        <w:t>read</w:t>
      </w:r>
      <w:proofErr w:type="gramEnd"/>
      <w:r w:rsidRPr="00521D6E">
        <w:rPr>
          <w:rFonts w:ascii="Segoe UI" w:eastAsia="Times New Roman" w:hAnsi="Segoe UI" w:cs="Segoe UI"/>
          <w:color w:val="002E3B" w:themeColor="text1"/>
          <w:sz w:val="22"/>
        </w:rPr>
        <w:t>-only mode for broker visibility into outstanding conditions.</w:t>
      </w:r>
      <w:r w:rsidRPr="00521D6E">
        <w:rPr>
          <w:rFonts w:ascii="Segoe UI" w:eastAsia="Times New Roman" w:hAnsi="Segoe UI" w:cs="Segoe UI"/>
          <w:color w:val="002E3B" w:themeColor="text1"/>
          <w:sz w:val="22"/>
        </w:rPr>
        <w:br/>
      </w:r>
    </w:p>
    <w:p w14:paraId="66AA337C" w14:textId="77777777" w:rsidR="00D912A2" w:rsidRPr="00521D6E" w:rsidRDefault="00D912A2" w:rsidP="00D912A2">
      <w:pPr>
        <w:numPr>
          <w:ilvl w:val="0"/>
          <w:numId w:val="21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 xml:space="preserve">Who should brokers contact with questions during the process? </w:t>
      </w:r>
    </w:p>
    <w:p w14:paraId="2A861595" w14:textId="535988D2" w:rsidR="00D912A2" w:rsidRPr="00521D6E" w:rsidRDefault="00D912A2" w:rsidP="00D912A2">
      <w:pPr>
        <w:numPr>
          <w:ilvl w:val="1"/>
          <w:numId w:val="21"/>
        </w:numPr>
        <w:spacing w:before="100" w:beforeAutospacing="1" w:after="100" w:afterAutospacing="1" w:line="300" w:lineRule="atLeast"/>
        <w:contextualSpacing w:val="0"/>
        <w:rPr>
          <w:rFonts w:eastAsia="Times New Roman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color w:val="002E3B" w:themeColor="text1"/>
          <w:sz w:val="22"/>
        </w:rPr>
        <w:t>Brokers should contact their Customer Relationship Manager (CRM) or Account Executive for questions on loans in process.</w:t>
      </w:r>
      <w:r w:rsidRPr="00521D6E">
        <w:rPr>
          <w:rFonts w:ascii="Segoe UI" w:eastAsia="Times New Roman" w:hAnsi="Segoe UI" w:cs="Segoe UI"/>
          <w:color w:val="002E3B" w:themeColor="text1"/>
          <w:sz w:val="22"/>
        </w:rPr>
        <w:br/>
      </w:r>
    </w:p>
    <w:p w14:paraId="74F6C06E" w14:textId="77777777" w:rsidR="00D912A2" w:rsidRPr="00521D6E" w:rsidRDefault="00D912A2" w:rsidP="00D912A2">
      <w:pPr>
        <w:numPr>
          <w:ilvl w:val="0"/>
          <w:numId w:val="21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>Are there service level agreements (SLAs) for conditions and turn times?</w:t>
      </w:r>
    </w:p>
    <w:p w14:paraId="39412ADB" w14:textId="2CE2D301" w:rsidR="00D912A2" w:rsidRPr="00521D6E" w:rsidRDefault="00D912A2" w:rsidP="00D912A2">
      <w:pPr>
        <w:numPr>
          <w:ilvl w:val="1"/>
          <w:numId w:val="21"/>
        </w:numPr>
        <w:spacing w:before="100" w:beforeAutospacing="1" w:after="100" w:afterAutospacing="1" w:line="300" w:lineRule="atLeast"/>
        <w:contextualSpacing w:val="0"/>
        <w:rPr>
          <w:rFonts w:eastAsia="Times New Roman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color w:val="002E3B" w:themeColor="text1"/>
          <w:sz w:val="22"/>
        </w:rPr>
        <w:t xml:space="preserve">Turn times are expected to align with current first-lien service levels but may vary based on volume and market conditions. </w:t>
      </w:r>
      <w:r w:rsidRPr="00521D6E">
        <w:rPr>
          <w:rFonts w:ascii="Segoe UI" w:eastAsia="Times New Roman" w:hAnsi="Segoe UI" w:cs="Segoe UI"/>
          <w:color w:val="002E3B" w:themeColor="text1"/>
          <w:sz w:val="22"/>
        </w:rPr>
        <w:br/>
      </w:r>
    </w:p>
    <w:p w14:paraId="1415E6CF" w14:textId="77777777" w:rsidR="00D912A2" w:rsidRPr="00521D6E" w:rsidRDefault="00D912A2" w:rsidP="00D912A2">
      <w:pPr>
        <w:numPr>
          <w:ilvl w:val="0"/>
          <w:numId w:val="21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b/>
          <w:bCs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>How long does it take to receive an approval?</w:t>
      </w:r>
    </w:p>
    <w:p w14:paraId="27443F1C" w14:textId="14C5AABA" w:rsidR="00D912A2" w:rsidRPr="00521D6E" w:rsidRDefault="00D912A2" w:rsidP="00D912A2">
      <w:pPr>
        <w:numPr>
          <w:ilvl w:val="1"/>
          <w:numId w:val="21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color w:val="002E3B" w:themeColor="text1"/>
          <w:sz w:val="22"/>
        </w:rPr>
        <w:t xml:space="preserve">The target is to provide </w:t>
      </w:r>
      <w:proofErr w:type="gramStart"/>
      <w:r w:rsidRPr="00521D6E">
        <w:rPr>
          <w:rFonts w:ascii="Segoe UI" w:eastAsia="Times New Roman" w:hAnsi="Segoe UI" w:cs="Segoe UI"/>
          <w:color w:val="002E3B" w:themeColor="text1"/>
          <w:sz w:val="22"/>
        </w:rPr>
        <w:t>an approval</w:t>
      </w:r>
      <w:proofErr w:type="gramEnd"/>
      <w:r w:rsidRPr="00521D6E">
        <w:rPr>
          <w:rFonts w:ascii="Segoe UI" w:eastAsia="Times New Roman" w:hAnsi="Segoe UI" w:cs="Segoe UI"/>
          <w:color w:val="002E3B" w:themeColor="text1"/>
          <w:sz w:val="22"/>
        </w:rPr>
        <w:t xml:space="preserve"> within 24-48 hours of submission to underwriting, though actual timelines may vary.</w:t>
      </w:r>
      <w:r w:rsidRPr="00521D6E">
        <w:rPr>
          <w:rFonts w:ascii="Segoe UI" w:eastAsia="Times New Roman" w:hAnsi="Segoe UI" w:cs="Segoe UI"/>
          <w:color w:val="002E3B" w:themeColor="text1"/>
          <w:sz w:val="22"/>
        </w:rPr>
        <w:br/>
      </w:r>
    </w:p>
    <w:p w14:paraId="0035D996" w14:textId="77777777" w:rsidR="00D912A2" w:rsidRPr="00521D6E" w:rsidRDefault="00D912A2" w:rsidP="00D912A2">
      <w:pPr>
        <w:numPr>
          <w:ilvl w:val="0"/>
          <w:numId w:val="21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>Is there a submission checklist to help minimize conditions?</w:t>
      </w:r>
    </w:p>
    <w:p w14:paraId="2CE8FCC0" w14:textId="7E33617B" w:rsidR="00D912A2" w:rsidRPr="00521D6E" w:rsidRDefault="00D912A2" w:rsidP="00D912A2">
      <w:pPr>
        <w:numPr>
          <w:ilvl w:val="1"/>
          <w:numId w:val="21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color w:val="002E3B" w:themeColor="text1"/>
          <w:sz w:val="22"/>
        </w:rPr>
        <w:t>Yes, the existing Delegated Underwriting (DTU) Closed-End Second checklist applies. Blueprint will also identify required items during submission.</w:t>
      </w:r>
      <w:r w:rsidRPr="00521D6E">
        <w:rPr>
          <w:rFonts w:ascii="Segoe UI" w:eastAsia="Times New Roman" w:hAnsi="Segoe UI" w:cs="Segoe UI"/>
          <w:color w:val="002E3B" w:themeColor="text1"/>
          <w:sz w:val="22"/>
        </w:rPr>
        <w:br/>
      </w:r>
    </w:p>
    <w:p w14:paraId="01352081" w14:textId="77777777" w:rsidR="00D912A2" w:rsidRPr="00521D6E" w:rsidRDefault="00D912A2" w:rsidP="00D912A2">
      <w:pPr>
        <w:numPr>
          <w:ilvl w:val="0"/>
          <w:numId w:val="21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>Will brokers receive loan status updates?</w:t>
      </w:r>
    </w:p>
    <w:p w14:paraId="6E2CB30D" w14:textId="77777777" w:rsidR="00D912A2" w:rsidRPr="00521D6E" w:rsidRDefault="00D912A2" w:rsidP="00D912A2">
      <w:pPr>
        <w:numPr>
          <w:ilvl w:val="1"/>
          <w:numId w:val="21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color w:val="002E3B" w:themeColor="text1"/>
          <w:sz w:val="22"/>
        </w:rPr>
        <w:t>Yes, brokers will receive automated loan status notifications at key milestones, including:</w:t>
      </w:r>
    </w:p>
    <w:p w14:paraId="43DDF0C9" w14:textId="77777777" w:rsidR="00D912A2" w:rsidRPr="00521D6E" w:rsidRDefault="00D912A2" w:rsidP="00D912A2">
      <w:pPr>
        <w:numPr>
          <w:ilvl w:val="2"/>
          <w:numId w:val="21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color w:val="002E3B" w:themeColor="text1"/>
          <w:sz w:val="22"/>
        </w:rPr>
        <w:t>Loan approval</w:t>
      </w:r>
    </w:p>
    <w:p w14:paraId="346B262A" w14:textId="77777777" w:rsidR="00D912A2" w:rsidRPr="00521D6E" w:rsidRDefault="00D912A2" w:rsidP="00D912A2">
      <w:pPr>
        <w:numPr>
          <w:ilvl w:val="2"/>
          <w:numId w:val="21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color w:val="002E3B" w:themeColor="text1"/>
          <w:sz w:val="22"/>
        </w:rPr>
        <w:t>Appraisal received</w:t>
      </w:r>
    </w:p>
    <w:p w14:paraId="0DA3D641" w14:textId="77777777" w:rsidR="00D912A2" w:rsidRPr="00521D6E" w:rsidRDefault="00D912A2" w:rsidP="00D912A2">
      <w:pPr>
        <w:numPr>
          <w:ilvl w:val="2"/>
          <w:numId w:val="21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color w:val="002E3B" w:themeColor="text1"/>
          <w:sz w:val="22"/>
        </w:rPr>
        <w:t>Lock Updates</w:t>
      </w:r>
    </w:p>
    <w:p w14:paraId="615F298B" w14:textId="77777777" w:rsidR="00D912A2" w:rsidRPr="00521D6E" w:rsidRDefault="00D912A2" w:rsidP="00D912A2">
      <w:pPr>
        <w:numPr>
          <w:ilvl w:val="2"/>
          <w:numId w:val="21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color w:val="002E3B" w:themeColor="text1"/>
          <w:sz w:val="22"/>
        </w:rPr>
        <w:t>Clear-to-close</w:t>
      </w:r>
    </w:p>
    <w:p w14:paraId="373464BA" w14:textId="257952F9" w:rsidR="005812C0" w:rsidRPr="00521D6E" w:rsidRDefault="00D912A2" w:rsidP="00D912A2">
      <w:pPr>
        <w:numPr>
          <w:ilvl w:val="2"/>
          <w:numId w:val="21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color w:val="002E3B" w:themeColor="text1"/>
          <w:sz w:val="22"/>
        </w:rPr>
        <w:t>Loan funded</w:t>
      </w:r>
    </w:p>
    <w:p w14:paraId="298AD589" w14:textId="2DF60535" w:rsidR="005812C0" w:rsidRPr="00521D6E" w:rsidRDefault="00D912A2" w:rsidP="005812C0">
      <w:pPr>
        <w:spacing w:after="0" w:line="360" w:lineRule="auto"/>
        <w:rPr>
          <w:rFonts w:ascii="Sunset Medium" w:hAnsi="Sunset Medium"/>
          <w:b/>
          <w:bCs/>
          <w:color w:val="002E3B" w:themeColor="text1"/>
          <w:sz w:val="32"/>
          <w:szCs w:val="32"/>
        </w:rPr>
      </w:pPr>
      <w:r w:rsidRPr="00521D6E">
        <w:rPr>
          <w:rFonts w:ascii="Sunset Medium" w:hAnsi="Sunset Medium"/>
          <w:b/>
          <w:bCs/>
          <w:color w:val="002E3B" w:themeColor="text1"/>
          <w:sz w:val="32"/>
          <w:szCs w:val="32"/>
        </w:rPr>
        <w:t xml:space="preserve">Product Scope and Eligibility </w:t>
      </w:r>
    </w:p>
    <w:p w14:paraId="17C88DC3" w14:textId="77777777" w:rsidR="00D912A2" w:rsidRPr="00521D6E" w:rsidRDefault="00D912A2" w:rsidP="00D912A2">
      <w:pPr>
        <w:numPr>
          <w:ilvl w:val="0"/>
          <w:numId w:val="22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b/>
          <w:bCs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>Are there acreage limits?</w:t>
      </w:r>
    </w:p>
    <w:p w14:paraId="03F3391A" w14:textId="4C4F88FD" w:rsidR="00D912A2" w:rsidRPr="00521D6E" w:rsidRDefault="00D912A2" w:rsidP="00D912A2">
      <w:pPr>
        <w:numPr>
          <w:ilvl w:val="1"/>
          <w:numId w:val="22"/>
        </w:numPr>
        <w:spacing w:before="100" w:beforeAutospacing="1" w:after="100" w:afterAutospacing="1" w:line="300" w:lineRule="atLeast"/>
        <w:contextualSpacing w:val="0"/>
        <w:rPr>
          <w:rFonts w:eastAsia="Times New Roman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color w:val="002E3B" w:themeColor="text1"/>
          <w:sz w:val="22"/>
        </w:rPr>
        <w:t>Yes, properties are limited to a maximum of 10 acres.</w:t>
      </w:r>
      <w:r w:rsidRPr="00521D6E">
        <w:rPr>
          <w:rFonts w:ascii="Segoe UI" w:eastAsia="Times New Roman" w:hAnsi="Segoe UI" w:cs="Segoe UI"/>
          <w:color w:val="002E3B" w:themeColor="text1"/>
          <w:sz w:val="22"/>
        </w:rPr>
        <w:br/>
      </w:r>
    </w:p>
    <w:p w14:paraId="24E243F5" w14:textId="77777777" w:rsidR="00D912A2" w:rsidRPr="00521D6E" w:rsidRDefault="00D912A2" w:rsidP="00D912A2">
      <w:pPr>
        <w:numPr>
          <w:ilvl w:val="0"/>
          <w:numId w:val="22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b/>
          <w:bCs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>What is the maximum loan-to-value (LTV)?</w:t>
      </w:r>
    </w:p>
    <w:p w14:paraId="1755D99C" w14:textId="2247398A" w:rsidR="00D912A2" w:rsidRPr="00521D6E" w:rsidRDefault="00D912A2" w:rsidP="00D912A2">
      <w:pPr>
        <w:numPr>
          <w:ilvl w:val="1"/>
          <w:numId w:val="22"/>
        </w:numPr>
        <w:spacing w:before="100" w:beforeAutospacing="1" w:after="100" w:afterAutospacing="1" w:line="300" w:lineRule="atLeast"/>
        <w:contextualSpacing w:val="0"/>
        <w:rPr>
          <w:rFonts w:eastAsia="Times New Roman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color w:val="002E3B" w:themeColor="text1"/>
          <w:sz w:val="22"/>
        </w:rPr>
        <w:t>The maximum loan-to-value is generally 80%, subject to state and program limitations.</w:t>
      </w:r>
      <w:r w:rsidRPr="00521D6E">
        <w:rPr>
          <w:rFonts w:ascii="Segoe UI" w:eastAsia="Times New Roman" w:hAnsi="Segoe UI" w:cs="Segoe UI"/>
          <w:color w:val="002E3B" w:themeColor="text1"/>
          <w:sz w:val="22"/>
        </w:rPr>
        <w:br/>
      </w:r>
    </w:p>
    <w:p w14:paraId="5389F3B6" w14:textId="77777777" w:rsidR="00D912A2" w:rsidRPr="00521D6E" w:rsidRDefault="00D912A2" w:rsidP="00D912A2">
      <w:pPr>
        <w:numPr>
          <w:ilvl w:val="0"/>
          <w:numId w:val="22"/>
        </w:numPr>
        <w:spacing w:before="100" w:beforeAutospacing="1" w:after="100" w:afterAutospacing="1" w:line="300" w:lineRule="atLeast"/>
        <w:contextualSpacing w:val="0"/>
        <w:rPr>
          <w:rFonts w:eastAsia="Times New Roman"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>Will Home Equity Lines of Credit (HELOCs) or purchase second liens be offered in the future?</w:t>
      </w:r>
    </w:p>
    <w:p w14:paraId="6E57763D" w14:textId="21771EA1" w:rsidR="00D912A2" w:rsidRPr="00521D6E" w:rsidRDefault="00D912A2" w:rsidP="00D912A2">
      <w:pPr>
        <w:numPr>
          <w:ilvl w:val="1"/>
          <w:numId w:val="22"/>
        </w:numPr>
        <w:spacing w:before="100" w:beforeAutospacing="1" w:after="100" w:afterAutospacing="1" w:line="300" w:lineRule="atLeast"/>
        <w:contextualSpacing w:val="0"/>
        <w:rPr>
          <w:rFonts w:eastAsia="Times New Roman"/>
          <w:color w:val="002E3B" w:themeColor="text1"/>
          <w:sz w:val="22"/>
        </w:rPr>
      </w:pPr>
      <w:r w:rsidRPr="00521D6E">
        <w:rPr>
          <w:rFonts w:eastAsia="Times New Roman"/>
          <w:color w:val="002E3B" w:themeColor="text1"/>
          <w:sz w:val="22"/>
        </w:rPr>
        <w:lastRenderedPageBreak/>
        <w:t xml:space="preserve">Future product offerings are under review. Currently, only Closed-End Second lien refinance transactions are available. </w:t>
      </w:r>
      <w:r w:rsidRPr="00521D6E">
        <w:rPr>
          <w:rFonts w:eastAsia="Times New Roman"/>
          <w:color w:val="002E3B" w:themeColor="text1"/>
          <w:sz w:val="22"/>
        </w:rPr>
        <w:br/>
      </w:r>
    </w:p>
    <w:p w14:paraId="2C5FFC4B" w14:textId="77777777" w:rsidR="00D912A2" w:rsidRPr="00521D6E" w:rsidRDefault="00D912A2" w:rsidP="00D912A2">
      <w:pPr>
        <w:numPr>
          <w:ilvl w:val="0"/>
          <w:numId w:val="22"/>
        </w:numPr>
        <w:spacing w:before="100" w:beforeAutospacing="1" w:after="100" w:afterAutospacing="1" w:line="300" w:lineRule="atLeast"/>
        <w:contextualSpacing w:val="0"/>
        <w:rPr>
          <w:rFonts w:ascii="Segoe UI" w:eastAsia="Times New Roman" w:hAnsi="Segoe UI" w:cs="Segoe UI"/>
          <w:b/>
          <w:bCs/>
          <w:color w:val="002E3B" w:themeColor="text1"/>
          <w:sz w:val="22"/>
        </w:rPr>
      </w:pPr>
      <w:r w:rsidRPr="00521D6E">
        <w:rPr>
          <w:rFonts w:ascii="Segoe UI" w:eastAsia="Times New Roman" w:hAnsi="Segoe UI" w:cs="Segoe UI"/>
          <w:b/>
          <w:bCs/>
          <w:color w:val="002E3B" w:themeColor="text1"/>
          <w:sz w:val="22"/>
        </w:rPr>
        <w:t xml:space="preserve">Can this product be used with a Veterans Affairs (VA) loan? </w:t>
      </w:r>
    </w:p>
    <w:p w14:paraId="795EA614" w14:textId="77777777" w:rsidR="00D912A2" w:rsidRPr="00521D6E" w:rsidRDefault="00D912A2" w:rsidP="00D912A2">
      <w:pPr>
        <w:numPr>
          <w:ilvl w:val="1"/>
          <w:numId w:val="22"/>
        </w:numPr>
        <w:spacing w:before="100" w:beforeAutospacing="1" w:after="100" w:afterAutospacing="1" w:line="300" w:lineRule="atLeast"/>
        <w:contextualSpacing w:val="0"/>
        <w:rPr>
          <w:rFonts w:eastAsia="Times New Roman"/>
          <w:color w:val="002E3B" w:themeColor="text1"/>
          <w:sz w:val="22"/>
        </w:rPr>
      </w:pPr>
      <w:r w:rsidRPr="00521D6E">
        <w:rPr>
          <w:rFonts w:eastAsia="Times New Roman"/>
          <w:color w:val="002E3B" w:themeColor="text1"/>
          <w:sz w:val="22"/>
        </w:rPr>
        <w:t xml:space="preserve">Yes, a second </w:t>
      </w:r>
      <w:proofErr w:type="gramStart"/>
      <w:r w:rsidRPr="00521D6E">
        <w:rPr>
          <w:rFonts w:eastAsia="Times New Roman"/>
          <w:color w:val="002E3B" w:themeColor="text1"/>
          <w:sz w:val="22"/>
        </w:rPr>
        <w:t>lien</w:t>
      </w:r>
      <w:proofErr w:type="gramEnd"/>
      <w:r w:rsidRPr="00521D6E">
        <w:rPr>
          <w:rFonts w:eastAsia="Times New Roman"/>
          <w:color w:val="002E3B" w:themeColor="text1"/>
          <w:sz w:val="22"/>
        </w:rPr>
        <w:t xml:space="preserve"> may be placed behind an eligible VA loan for refinance transactions. Purchase transactions are not currently available.</w:t>
      </w:r>
    </w:p>
    <w:p w14:paraId="3D8519C8" w14:textId="77777777" w:rsidR="00C12A58" w:rsidRPr="00521D6E" w:rsidRDefault="00C12A58" w:rsidP="00D86B71">
      <w:pPr>
        <w:spacing w:after="0" w:line="240" w:lineRule="auto"/>
        <w:rPr>
          <w:color w:val="002E3B" w:themeColor="text1"/>
        </w:rPr>
      </w:pPr>
    </w:p>
    <w:p w14:paraId="13CB2C30" w14:textId="77777777" w:rsidR="00C12A58" w:rsidRPr="00521D6E" w:rsidRDefault="00C12A58" w:rsidP="00D86B71">
      <w:pPr>
        <w:spacing w:after="0" w:line="240" w:lineRule="auto"/>
        <w:rPr>
          <w:color w:val="002E3B" w:themeColor="text1"/>
        </w:rPr>
      </w:pPr>
    </w:p>
    <w:p w14:paraId="24014999" w14:textId="77777777" w:rsidR="00C12A58" w:rsidRPr="00521D6E" w:rsidRDefault="00C12A58" w:rsidP="00D86B71">
      <w:pPr>
        <w:spacing w:after="0" w:line="240" w:lineRule="auto"/>
        <w:rPr>
          <w:color w:val="002E3B" w:themeColor="text1"/>
        </w:rPr>
      </w:pPr>
    </w:p>
    <w:p w14:paraId="102E156C" w14:textId="77777777" w:rsidR="00256C16" w:rsidRPr="00521D6E" w:rsidRDefault="00256C16" w:rsidP="007E165F">
      <w:pPr>
        <w:spacing w:after="0" w:line="240" w:lineRule="auto"/>
        <w:rPr>
          <w:rFonts w:cs="Arial"/>
          <w:color w:val="002E3B" w:themeColor="text1"/>
        </w:rPr>
      </w:pPr>
    </w:p>
    <w:bookmarkEnd w:id="0"/>
    <w:bookmarkEnd w:id="1"/>
    <w:p w14:paraId="1673E897" w14:textId="77777777" w:rsidR="009B5137" w:rsidRPr="00521D6E" w:rsidRDefault="009B5137" w:rsidP="009B5137">
      <w:pPr>
        <w:spacing w:after="160" w:line="259" w:lineRule="auto"/>
        <w:contextualSpacing w:val="0"/>
        <w:rPr>
          <w:color w:val="002E3B" w:themeColor="text1"/>
        </w:rPr>
      </w:pPr>
    </w:p>
    <w:p w14:paraId="76C8F54B" w14:textId="77777777" w:rsidR="009B5137" w:rsidRPr="00521D6E" w:rsidRDefault="009B5137" w:rsidP="009B5137">
      <w:pPr>
        <w:spacing w:after="160" w:line="259" w:lineRule="auto"/>
        <w:contextualSpacing w:val="0"/>
        <w:rPr>
          <w:color w:val="002E3B" w:themeColor="text1"/>
        </w:rPr>
      </w:pPr>
    </w:p>
    <w:p w14:paraId="52CCCE4B" w14:textId="422DEC24" w:rsidR="00975EDF" w:rsidRPr="00521D6E" w:rsidRDefault="00975EDF" w:rsidP="009B5137">
      <w:pPr>
        <w:spacing w:after="160" w:line="259" w:lineRule="auto"/>
        <w:contextualSpacing w:val="0"/>
        <w:rPr>
          <w:color w:val="002E3B" w:themeColor="text1"/>
        </w:rPr>
      </w:pPr>
      <w:r w:rsidRPr="00521D6E">
        <w:rPr>
          <w:color w:val="002E3B" w:themeColor="text1"/>
        </w:rPr>
        <w:t> </w:t>
      </w:r>
    </w:p>
    <w:p w14:paraId="09D8BBAA" w14:textId="77777777" w:rsidR="00D912A2" w:rsidRPr="00521D6E" w:rsidRDefault="00D912A2" w:rsidP="009B5137">
      <w:pPr>
        <w:spacing w:after="160" w:line="259" w:lineRule="auto"/>
        <w:contextualSpacing w:val="0"/>
        <w:rPr>
          <w:color w:val="002E3B" w:themeColor="text1"/>
        </w:rPr>
      </w:pPr>
    </w:p>
    <w:p w14:paraId="63608C8A" w14:textId="77777777" w:rsidR="00D912A2" w:rsidRPr="00521D6E" w:rsidRDefault="00D912A2" w:rsidP="009B5137">
      <w:pPr>
        <w:spacing w:after="160" w:line="259" w:lineRule="auto"/>
        <w:contextualSpacing w:val="0"/>
        <w:rPr>
          <w:color w:val="002E3B" w:themeColor="text1"/>
        </w:rPr>
      </w:pPr>
    </w:p>
    <w:p w14:paraId="338B4E02" w14:textId="77777777" w:rsidR="00D912A2" w:rsidRPr="00521D6E" w:rsidRDefault="00D912A2" w:rsidP="009B5137">
      <w:pPr>
        <w:spacing w:after="160" w:line="259" w:lineRule="auto"/>
        <w:contextualSpacing w:val="0"/>
        <w:rPr>
          <w:color w:val="002E3B" w:themeColor="text1"/>
        </w:rPr>
      </w:pPr>
    </w:p>
    <w:p w14:paraId="6413A8E6" w14:textId="77777777" w:rsidR="00D912A2" w:rsidRPr="00521D6E" w:rsidRDefault="00D912A2" w:rsidP="009B5137">
      <w:pPr>
        <w:spacing w:after="160" w:line="259" w:lineRule="auto"/>
        <w:contextualSpacing w:val="0"/>
        <w:rPr>
          <w:color w:val="002E3B" w:themeColor="text1"/>
        </w:rPr>
      </w:pPr>
    </w:p>
    <w:p w14:paraId="37081107" w14:textId="77777777" w:rsidR="00D912A2" w:rsidRPr="00521D6E" w:rsidRDefault="00D912A2" w:rsidP="009B5137">
      <w:pPr>
        <w:spacing w:after="160" w:line="259" w:lineRule="auto"/>
        <w:contextualSpacing w:val="0"/>
        <w:rPr>
          <w:rFonts w:ascii="Sunset Medium" w:eastAsiaTheme="majorEastAsia" w:hAnsi="Sunset Medium" w:cstheme="majorBidi"/>
          <w:b/>
          <w:color w:val="002E3B" w:themeColor="text1"/>
          <w:sz w:val="48"/>
          <w:szCs w:val="32"/>
        </w:rPr>
      </w:pPr>
    </w:p>
    <w:p w14:paraId="54E2AFD8" w14:textId="77777777" w:rsidR="00C40D36" w:rsidRPr="00521D6E" w:rsidRDefault="00C40D36" w:rsidP="00F3288C">
      <w:pPr>
        <w:ind w:left="360"/>
        <w:rPr>
          <w:color w:val="002E3B" w:themeColor="text1"/>
          <w:sz w:val="20"/>
          <w:szCs w:val="18"/>
        </w:rPr>
      </w:pPr>
    </w:p>
    <w:p w14:paraId="452E8C40" w14:textId="77777777" w:rsidR="00C40D36" w:rsidRPr="00521D6E" w:rsidRDefault="00C40D36" w:rsidP="00F3288C">
      <w:pPr>
        <w:ind w:left="360"/>
        <w:rPr>
          <w:color w:val="002E3B" w:themeColor="text1"/>
          <w:sz w:val="20"/>
          <w:szCs w:val="18"/>
        </w:rPr>
      </w:pPr>
    </w:p>
    <w:p w14:paraId="6924A5B1" w14:textId="77777777" w:rsidR="00C40D36" w:rsidRPr="00521D6E" w:rsidRDefault="00C40D36" w:rsidP="00F3288C">
      <w:pPr>
        <w:ind w:left="360"/>
        <w:rPr>
          <w:color w:val="002E3B" w:themeColor="text1"/>
          <w:sz w:val="20"/>
          <w:szCs w:val="18"/>
        </w:rPr>
      </w:pPr>
    </w:p>
    <w:p w14:paraId="0847B778" w14:textId="77777777" w:rsidR="00C40D36" w:rsidRPr="00521D6E" w:rsidRDefault="00C40D36" w:rsidP="00F3288C">
      <w:pPr>
        <w:ind w:left="360"/>
        <w:rPr>
          <w:color w:val="002E3B" w:themeColor="text1"/>
          <w:sz w:val="20"/>
          <w:szCs w:val="18"/>
        </w:rPr>
      </w:pPr>
    </w:p>
    <w:p w14:paraId="7D59B490" w14:textId="77777777" w:rsidR="00C40D36" w:rsidRPr="00521D6E" w:rsidRDefault="00C40D36" w:rsidP="00F3288C">
      <w:pPr>
        <w:ind w:left="360"/>
        <w:rPr>
          <w:color w:val="002E3B" w:themeColor="text1"/>
          <w:sz w:val="20"/>
          <w:szCs w:val="18"/>
        </w:rPr>
      </w:pPr>
    </w:p>
    <w:p w14:paraId="09795799" w14:textId="77777777" w:rsidR="00C40D36" w:rsidRPr="00521D6E" w:rsidRDefault="00C40D36" w:rsidP="00F3288C">
      <w:pPr>
        <w:ind w:left="360"/>
        <w:rPr>
          <w:color w:val="002E3B" w:themeColor="text1"/>
          <w:sz w:val="20"/>
          <w:szCs w:val="18"/>
        </w:rPr>
      </w:pPr>
    </w:p>
    <w:p w14:paraId="466E400E" w14:textId="642228B3" w:rsidR="00C40D36" w:rsidRPr="00521D6E" w:rsidRDefault="00C40D36" w:rsidP="00F3288C">
      <w:pPr>
        <w:ind w:left="360"/>
        <w:rPr>
          <w:color w:val="002E3B" w:themeColor="text1"/>
          <w:sz w:val="20"/>
          <w:szCs w:val="18"/>
        </w:rPr>
      </w:pPr>
      <w:r w:rsidRPr="00521D6E">
        <w:rPr>
          <w:color w:val="002E3B" w:themeColor="text1"/>
          <w:sz w:val="20"/>
          <w:szCs w:val="18"/>
        </w:rPr>
        <w:t xml:space="preserve">The Newrez Home Equity Loan program allows the borrower to keep their current mortgage rate unchanged while taking out a second mortgage at current market rates. The minimum credit score for this program is 660, and it is only available on properties with one existing mortgage </w:t>
      </w:r>
      <w:proofErr w:type="gramStart"/>
      <w:r w:rsidRPr="00521D6E">
        <w:rPr>
          <w:color w:val="002E3B" w:themeColor="text1"/>
          <w:sz w:val="20"/>
          <w:szCs w:val="18"/>
        </w:rPr>
        <w:t>lien</w:t>
      </w:r>
      <w:proofErr w:type="gramEnd"/>
      <w:r w:rsidRPr="00521D6E">
        <w:rPr>
          <w:color w:val="002E3B" w:themeColor="text1"/>
          <w:sz w:val="20"/>
          <w:szCs w:val="18"/>
        </w:rPr>
        <w:t>. Loan amounts must meet program minimums and maximums, and loans are subject to maximum loan-to-value limits as well as other underwriting rules. Geographic restrictions apply.</w:t>
      </w:r>
    </w:p>
    <w:p w14:paraId="0AEED505" w14:textId="77777777" w:rsidR="00C40D36" w:rsidRPr="00521D6E" w:rsidRDefault="00C40D36" w:rsidP="00F3288C">
      <w:pPr>
        <w:ind w:left="360"/>
        <w:rPr>
          <w:color w:val="002E3B" w:themeColor="text1"/>
          <w:sz w:val="20"/>
          <w:szCs w:val="18"/>
        </w:rPr>
      </w:pPr>
    </w:p>
    <w:p w14:paraId="1555D25D" w14:textId="1780E217" w:rsidR="00BC5062" w:rsidRPr="00521D6E" w:rsidRDefault="009B5137" w:rsidP="00F3288C">
      <w:pPr>
        <w:ind w:left="360"/>
        <w:rPr>
          <w:color w:val="002E3B" w:themeColor="text1"/>
          <w:sz w:val="20"/>
          <w:szCs w:val="18"/>
        </w:rPr>
      </w:pPr>
      <w:r w:rsidRPr="00521D6E">
        <w:rPr>
          <w:color w:val="002E3B" w:themeColor="text1"/>
          <w:sz w:val="20"/>
          <w:szCs w:val="18"/>
        </w:rPr>
        <w:t>© 2026 Newrez LLC, 1100 Virginia Dr., Suite 125, Fort Washington, PA 19034. 1-888-673-5521. NMLS #3013. Doing business as Newrez Mortgage LLC in the state of Texas. Alaska Mortgage Lender License #AK3013. Arizona Mortgage Banker License #919777. Licensed by the Department of Financial Protection &amp; Innovation under the California Residential Mortgage Lending Act. Loans made or arranged pursuant to a California Finance Lenders Law license. Massachusetts Lender #ML-3013. Licensed by the N.J. Department of Banking and Insurance. Licensed Mortgage Banker-NYS Banking Department. For licensing information, go to: www.nmlsconsumeraccess.org. For real estate and mortgage professionals only and not intended for distribution to consumers or other third parties.</w:t>
      </w:r>
    </w:p>
    <w:sectPr w:rsidR="00BC5062" w:rsidRPr="00521D6E" w:rsidSect="004544BA">
      <w:headerReference w:type="default" r:id="rId10"/>
      <w:footerReference w:type="default" r:id="rId11"/>
      <w:pgSz w:w="12240" w:h="15840"/>
      <w:pgMar w:top="1080" w:right="1080" w:bottom="1080" w:left="1080" w:header="576" w:footer="3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A3742" w14:textId="77777777" w:rsidR="001B5D3A" w:rsidRDefault="001B5D3A" w:rsidP="00080916">
      <w:pPr>
        <w:spacing w:after="0" w:line="240" w:lineRule="auto"/>
      </w:pPr>
      <w:r>
        <w:separator/>
      </w:r>
    </w:p>
  </w:endnote>
  <w:endnote w:type="continuationSeparator" w:id="0">
    <w:p w14:paraId="707D9D55" w14:textId="77777777" w:rsidR="001B5D3A" w:rsidRDefault="001B5D3A" w:rsidP="0008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nset Medium">
    <w:panose1 w:val="0208060305050A020204"/>
    <w:charset w:val="00"/>
    <w:family w:val="roma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ecoleta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ilec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40510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A98290B" w14:textId="1313FF73" w:rsidR="009B5137" w:rsidRDefault="009B513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D41EE15" w14:textId="77777777" w:rsidR="00D624C2" w:rsidRPr="00ED3B9B" w:rsidRDefault="00D624C2">
    <w:pPr>
      <w:pStyle w:val="Footer"/>
      <w:rPr>
        <w:rFonts w:ascii="Sailec" w:hAnsi="Sail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777A8" w14:textId="77777777" w:rsidR="001B5D3A" w:rsidRDefault="001B5D3A" w:rsidP="00080916">
      <w:pPr>
        <w:spacing w:after="0" w:line="240" w:lineRule="auto"/>
      </w:pPr>
      <w:r>
        <w:separator/>
      </w:r>
    </w:p>
  </w:footnote>
  <w:footnote w:type="continuationSeparator" w:id="0">
    <w:p w14:paraId="13064786" w14:textId="77777777" w:rsidR="001B5D3A" w:rsidRDefault="001B5D3A" w:rsidP="0008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3D07" w14:textId="58FB0765" w:rsidR="00080916" w:rsidRPr="00955A10" w:rsidRDefault="00CA793B" w:rsidP="00CA793B">
    <w:pPr>
      <w:pStyle w:val="Header"/>
      <w:ind w:left="900"/>
      <w:rPr>
        <w:rFonts w:ascii="Sunset Medium" w:hAnsi="Sunset Medium"/>
        <w:b/>
        <w:bCs/>
        <w:color w:val="33806F" w:themeColor="accent4"/>
        <w:sz w:val="48"/>
        <w:szCs w:val="48"/>
      </w:rPr>
    </w:pPr>
    <w:r w:rsidRPr="00955A10">
      <w:rPr>
        <w:rFonts w:ascii="Sunset Medium" w:hAnsi="Sunset Medium"/>
        <w:b/>
        <w:bCs/>
        <w:noProof/>
        <w:color w:val="33806F" w:themeColor="accent4"/>
        <w:sz w:val="48"/>
        <w:szCs w:val="48"/>
      </w:rPr>
      <w:drawing>
        <wp:anchor distT="0" distB="0" distL="114300" distR="114300" simplePos="0" relativeHeight="251663360" behindDoc="1" locked="0" layoutInCell="1" allowOverlap="1" wp14:anchorId="000BB67C" wp14:editId="219495DA">
          <wp:simplePos x="0" y="0"/>
          <wp:positionH relativeFrom="margin">
            <wp:posOffset>-3810</wp:posOffset>
          </wp:positionH>
          <wp:positionV relativeFrom="paragraph">
            <wp:posOffset>-218279</wp:posOffset>
          </wp:positionV>
          <wp:extent cx="894080" cy="803910"/>
          <wp:effectExtent l="0" t="0" r="1270" b="0"/>
          <wp:wrapTight wrapText="bothSides">
            <wp:wrapPolygon edited="0">
              <wp:start x="0" y="0"/>
              <wp:lineTo x="0" y="20986"/>
              <wp:lineTo x="21170" y="20986"/>
              <wp:lineTo x="21170" y="0"/>
              <wp:lineTo x="0" y="0"/>
            </wp:wrapPolygon>
          </wp:wrapTight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080" cy="80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46C8">
      <w:rPr>
        <w:rFonts w:ascii="Sunset Medium" w:hAnsi="Sunset Medium"/>
        <w:b/>
        <w:bCs/>
        <w:color w:val="33806F" w:themeColor="accent4"/>
        <w:sz w:val="48"/>
        <w:szCs w:val="48"/>
      </w:rPr>
      <w:t>Frequently Asked Questions</w:t>
    </w:r>
  </w:p>
  <w:p w14:paraId="53D42F48" w14:textId="7411F459" w:rsidR="003C5ACB" w:rsidRDefault="004544BA" w:rsidP="00CA793B">
    <w:pPr>
      <w:pStyle w:val="Header"/>
      <w:ind w:left="900"/>
      <w:rPr>
        <w:rFonts w:ascii="Georgia" w:hAnsi="Georgia"/>
        <w:b/>
        <w:bCs/>
        <w:color w:val="33806F" w:themeColor="accent4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6FB5E9" wp14:editId="2879BA6D">
              <wp:simplePos x="0" y="0"/>
              <wp:positionH relativeFrom="column">
                <wp:posOffset>3413</wp:posOffset>
              </wp:positionH>
              <wp:positionV relativeFrom="paragraph">
                <wp:posOffset>201295</wp:posOffset>
              </wp:positionV>
              <wp:extent cx="6397388" cy="284"/>
              <wp:effectExtent l="0" t="19050" r="22860" b="19050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97388" cy="284"/>
                      </a:xfrm>
                      <a:prstGeom prst="line">
                        <a:avLst/>
                      </a:prstGeom>
                      <a:ln w="28575" cmpd="tri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0F334A" id="Straight Connector 4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5.85pt" to="7in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" strokecolor="#002e3b [3215]" strokeweight="2.25pt">
              <v:stroke linestyle="thickBetweenThin" joinstyle="miter"/>
            </v:line>
          </w:pict>
        </mc:Fallback>
      </mc:AlternateContent>
    </w:r>
  </w:p>
  <w:p w14:paraId="436D212E" w14:textId="38962B90" w:rsidR="003C5ACB" w:rsidRDefault="003C5ACB" w:rsidP="003C5A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CEB"/>
    <w:multiLevelType w:val="multilevel"/>
    <w:tmpl w:val="34CA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064E2"/>
    <w:multiLevelType w:val="hybridMultilevel"/>
    <w:tmpl w:val="D74AD964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E9E3FFA"/>
    <w:multiLevelType w:val="hybridMultilevel"/>
    <w:tmpl w:val="39CC9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F619B"/>
    <w:multiLevelType w:val="multilevel"/>
    <w:tmpl w:val="7548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9097E"/>
    <w:multiLevelType w:val="hybridMultilevel"/>
    <w:tmpl w:val="A1DAAF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9507F"/>
    <w:multiLevelType w:val="multilevel"/>
    <w:tmpl w:val="CD3E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0B2B20"/>
    <w:multiLevelType w:val="hybridMultilevel"/>
    <w:tmpl w:val="EE222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D5079"/>
    <w:multiLevelType w:val="hybridMultilevel"/>
    <w:tmpl w:val="0D806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21C9A"/>
    <w:multiLevelType w:val="hybridMultilevel"/>
    <w:tmpl w:val="48DEFE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97522"/>
    <w:multiLevelType w:val="hybridMultilevel"/>
    <w:tmpl w:val="B1189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85F16"/>
    <w:multiLevelType w:val="hybridMultilevel"/>
    <w:tmpl w:val="428AF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E38AC"/>
    <w:multiLevelType w:val="hybridMultilevel"/>
    <w:tmpl w:val="B26EA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97B48"/>
    <w:multiLevelType w:val="hybridMultilevel"/>
    <w:tmpl w:val="70D046D6"/>
    <w:lvl w:ilvl="0" w:tplc="E7B4835E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D6157F"/>
    <w:multiLevelType w:val="hybridMultilevel"/>
    <w:tmpl w:val="C8F8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C1A9D"/>
    <w:multiLevelType w:val="multilevel"/>
    <w:tmpl w:val="4750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C91C8F"/>
    <w:multiLevelType w:val="hybridMultilevel"/>
    <w:tmpl w:val="A6EE8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D63F2"/>
    <w:multiLevelType w:val="hybridMultilevel"/>
    <w:tmpl w:val="E8603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93A35"/>
    <w:multiLevelType w:val="hybridMultilevel"/>
    <w:tmpl w:val="970045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D24D6"/>
    <w:multiLevelType w:val="hybridMultilevel"/>
    <w:tmpl w:val="8ED2A0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36EC5"/>
    <w:multiLevelType w:val="hybridMultilevel"/>
    <w:tmpl w:val="C268A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705AF"/>
    <w:multiLevelType w:val="hybridMultilevel"/>
    <w:tmpl w:val="BD363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504352">
    <w:abstractNumId w:val="11"/>
  </w:num>
  <w:num w:numId="2" w16cid:durableId="1216358523">
    <w:abstractNumId w:val="6"/>
  </w:num>
  <w:num w:numId="3" w16cid:durableId="280301974">
    <w:abstractNumId w:val="1"/>
  </w:num>
  <w:num w:numId="4" w16cid:durableId="1495338846">
    <w:abstractNumId w:val="10"/>
  </w:num>
  <w:num w:numId="5" w16cid:durableId="852689478">
    <w:abstractNumId w:val="16"/>
  </w:num>
  <w:num w:numId="6" w16cid:durableId="1466040895">
    <w:abstractNumId w:val="15"/>
  </w:num>
  <w:num w:numId="7" w16cid:durableId="1113208938">
    <w:abstractNumId w:val="19"/>
  </w:num>
  <w:num w:numId="8" w16cid:durableId="386028618">
    <w:abstractNumId w:val="13"/>
  </w:num>
  <w:num w:numId="9" w16cid:durableId="1673486794">
    <w:abstractNumId w:val="18"/>
  </w:num>
  <w:num w:numId="10" w16cid:durableId="330765032">
    <w:abstractNumId w:val="12"/>
  </w:num>
  <w:num w:numId="11" w16cid:durableId="1111165718">
    <w:abstractNumId w:val="20"/>
  </w:num>
  <w:num w:numId="12" w16cid:durableId="1160658425">
    <w:abstractNumId w:val="7"/>
  </w:num>
  <w:num w:numId="13" w16cid:durableId="2021420254">
    <w:abstractNumId w:val="9"/>
  </w:num>
  <w:num w:numId="14" w16cid:durableId="1052071738">
    <w:abstractNumId w:val="2"/>
  </w:num>
  <w:num w:numId="15" w16cid:durableId="1077675519">
    <w:abstractNumId w:val="2"/>
  </w:num>
  <w:num w:numId="16" w16cid:durableId="119230012">
    <w:abstractNumId w:val="8"/>
  </w:num>
  <w:num w:numId="17" w16cid:durableId="1301766575">
    <w:abstractNumId w:val="4"/>
  </w:num>
  <w:num w:numId="18" w16cid:durableId="941451819">
    <w:abstractNumId w:val="17"/>
  </w:num>
  <w:num w:numId="19" w16cid:durableId="1668826653">
    <w:abstractNumId w:val="0"/>
  </w:num>
  <w:num w:numId="20" w16cid:durableId="278531417">
    <w:abstractNumId w:val="3"/>
  </w:num>
  <w:num w:numId="21" w16cid:durableId="1301694578">
    <w:abstractNumId w:val="14"/>
  </w:num>
  <w:num w:numId="22" w16cid:durableId="7980634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2F"/>
    <w:rsid w:val="000030BC"/>
    <w:rsid w:val="00003A2C"/>
    <w:rsid w:val="00010284"/>
    <w:rsid w:val="000736D9"/>
    <w:rsid w:val="00080916"/>
    <w:rsid w:val="000A11B6"/>
    <w:rsid w:val="000A4B2F"/>
    <w:rsid w:val="000E0620"/>
    <w:rsid w:val="000F7396"/>
    <w:rsid w:val="001158C4"/>
    <w:rsid w:val="00144920"/>
    <w:rsid w:val="00153D58"/>
    <w:rsid w:val="00157CBF"/>
    <w:rsid w:val="001817A6"/>
    <w:rsid w:val="001A5DD6"/>
    <w:rsid w:val="001B3AEB"/>
    <w:rsid w:val="001B53AC"/>
    <w:rsid w:val="001B5D3A"/>
    <w:rsid w:val="001B666A"/>
    <w:rsid w:val="001D3D5D"/>
    <w:rsid w:val="001E7C4A"/>
    <w:rsid w:val="00230483"/>
    <w:rsid w:val="00256C16"/>
    <w:rsid w:val="002977A1"/>
    <w:rsid w:val="002B1707"/>
    <w:rsid w:val="002D3C7E"/>
    <w:rsid w:val="00304098"/>
    <w:rsid w:val="00317590"/>
    <w:rsid w:val="003274EE"/>
    <w:rsid w:val="003601E1"/>
    <w:rsid w:val="00363A2F"/>
    <w:rsid w:val="003725CE"/>
    <w:rsid w:val="00373C86"/>
    <w:rsid w:val="00392F36"/>
    <w:rsid w:val="003C5ACB"/>
    <w:rsid w:val="00417473"/>
    <w:rsid w:val="004544BA"/>
    <w:rsid w:val="004D1AA3"/>
    <w:rsid w:val="00521D6E"/>
    <w:rsid w:val="00532C2D"/>
    <w:rsid w:val="0054233F"/>
    <w:rsid w:val="0056330D"/>
    <w:rsid w:val="005812C0"/>
    <w:rsid w:val="005B6CA9"/>
    <w:rsid w:val="005C0E13"/>
    <w:rsid w:val="00601E00"/>
    <w:rsid w:val="006022E6"/>
    <w:rsid w:val="00625B8F"/>
    <w:rsid w:val="006D2CD3"/>
    <w:rsid w:val="006E67AF"/>
    <w:rsid w:val="006F15BE"/>
    <w:rsid w:val="0071796A"/>
    <w:rsid w:val="00723142"/>
    <w:rsid w:val="00757859"/>
    <w:rsid w:val="00776BC7"/>
    <w:rsid w:val="00783E1A"/>
    <w:rsid w:val="007B6846"/>
    <w:rsid w:val="007E165F"/>
    <w:rsid w:val="009102AF"/>
    <w:rsid w:val="00955A10"/>
    <w:rsid w:val="00957E72"/>
    <w:rsid w:val="00975EDF"/>
    <w:rsid w:val="009A41DE"/>
    <w:rsid w:val="009B5137"/>
    <w:rsid w:val="009B61DA"/>
    <w:rsid w:val="009E70F5"/>
    <w:rsid w:val="00A2398D"/>
    <w:rsid w:val="00A435DA"/>
    <w:rsid w:val="00B017EE"/>
    <w:rsid w:val="00B103B4"/>
    <w:rsid w:val="00B341A9"/>
    <w:rsid w:val="00B45D10"/>
    <w:rsid w:val="00B468C1"/>
    <w:rsid w:val="00B6678E"/>
    <w:rsid w:val="00BC5062"/>
    <w:rsid w:val="00C12A58"/>
    <w:rsid w:val="00C22084"/>
    <w:rsid w:val="00C40D36"/>
    <w:rsid w:val="00C44E01"/>
    <w:rsid w:val="00CA793B"/>
    <w:rsid w:val="00CE114F"/>
    <w:rsid w:val="00CF3060"/>
    <w:rsid w:val="00D1680D"/>
    <w:rsid w:val="00D37C04"/>
    <w:rsid w:val="00D624C2"/>
    <w:rsid w:val="00D63654"/>
    <w:rsid w:val="00D63CAA"/>
    <w:rsid w:val="00D74EA0"/>
    <w:rsid w:val="00D839E2"/>
    <w:rsid w:val="00D86B71"/>
    <w:rsid w:val="00D912A2"/>
    <w:rsid w:val="00DA1060"/>
    <w:rsid w:val="00DE2AA5"/>
    <w:rsid w:val="00E20989"/>
    <w:rsid w:val="00E26521"/>
    <w:rsid w:val="00E77256"/>
    <w:rsid w:val="00E81E1F"/>
    <w:rsid w:val="00E846C8"/>
    <w:rsid w:val="00EC11DF"/>
    <w:rsid w:val="00ED3B9B"/>
    <w:rsid w:val="00EE7455"/>
    <w:rsid w:val="00F3288C"/>
    <w:rsid w:val="00F405B9"/>
    <w:rsid w:val="00F504CA"/>
    <w:rsid w:val="00F72A5E"/>
    <w:rsid w:val="00F86A38"/>
    <w:rsid w:val="00FB2CC8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19D60"/>
  <w15:chartTrackingRefBased/>
  <w15:docId w15:val="{98726621-5CDC-4C4F-8D6E-B179FDCD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1DA"/>
    <w:pPr>
      <w:spacing w:after="120" w:line="276" w:lineRule="auto"/>
      <w:contextualSpacing/>
    </w:pPr>
    <w:rPr>
      <w:rFonts w:ascii="Arial" w:hAnsi="Arial"/>
      <w:color w:val="00526B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912A2"/>
    <w:pPr>
      <w:keepNext/>
      <w:keepLines/>
      <w:spacing w:after="0" w:line="360" w:lineRule="auto"/>
      <w:outlineLvl w:val="0"/>
    </w:pPr>
    <w:rPr>
      <w:rFonts w:ascii="Sunset Medium" w:eastAsiaTheme="majorEastAsia" w:hAnsi="Sunset Medium" w:cstheme="minorHAnsi"/>
      <w:bCs/>
      <w:color w:val="002E3B"/>
      <w:sz w:val="52"/>
      <w:szCs w:val="5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846C8"/>
    <w:pPr>
      <w:keepNext/>
      <w:keepLines/>
      <w:spacing w:after="0" w:line="240" w:lineRule="auto"/>
      <w:outlineLvl w:val="1"/>
    </w:pPr>
    <w:rPr>
      <w:rFonts w:ascii="Sunset Medium" w:eastAsiaTheme="majorEastAsia" w:hAnsi="Sunset Medium" w:cstheme="majorBidi"/>
      <w:b/>
      <w:color w:val="002E3B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75EDF"/>
    <w:pPr>
      <w:keepNext/>
      <w:keepLines/>
      <w:spacing w:before="40" w:after="0"/>
      <w:outlineLvl w:val="2"/>
    </w:pPr>
    <w:rPr>
      <w:rFonts w:ascii="Sunset Medium" w:eastAsiaTheme="majorEastAsia" w:hAnsi="Sunset Medium" w:cstheme="majorBidi"/>
      <w:b/>
      <w:color w:val="554C5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601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601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01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3601E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4544B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637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916"/>
  </w:style>
  <w:style w:type="paragraph" w:styleId="Footer">
    <w:name w:val="footer"/>
    <w:basedOn w:val="Normal"/>
    <w:link w:val="FooterChar"/>
    <w:uiPriority w:val="99"/>
    <w:unhideWhenUsed/>
    <w:rsid w:val="00080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916"/>
  </w:style>
  <w:style w:type="character" w:customStyle="1" w:styleId="Heading1Char">
    <w:name w:val="Heading 1 Char"/>
    <w:basedOn w:val="DefaultParagraphFont"/>
    <w:link w:val="Heading1"/>
    <w:uiPriority w:val="9"/>
    <w:rsid w:val="00D912A2"/>
    <w:rPr>
      <w:rFonts w:ascii="Sunset Medium" w:eastAsiaTheme="majorEastAsia" w:hAnsi="Sunset Medium" w:cstheme="minorHAnsi"/>
      <w:bCs/>
      <w:color w:val="002E3B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846C8"/>
    <w:rPr>
      <w:rFonts w:ascii="Sunset Medium" w:eastAsiaTheme="majorEastAsia" w:hAnsi="Sunset Medium" w:cstheme="majorBidi"/>
      <w:b/>
      <w:color w:val="002E3B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5EDF"/>
    <w:rPr>
      <w:rFonts w:ascii="Sunset Medium" w:eastAsiaTheme="majorEastAsia" w:hAnsi="Sunset Medium" w:cstheme="majorBidi"/>
      <w:b/>
      <w:color w:val="554C5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01E1"/>
    <w:rPr>
      <w:rFonts w:asciiTheme="majorHAnsi" w:eastAsiaTheme="majorEastAsia" w:hAnsiTheme="majorHAnsi" w:cstheme="majorBidi"/>
      <w:i/>
      <w:iCs/>
      <w:color w:val="002E3B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3601E1"/>
    <w:rPr>
      <w:rFonts w:asciiTheme="majorHAnsi" w:eastAsiaTheme="majorEastAsia" w:hAnsiTheme="majorHAnsi" w:cstheme="majorBidi"/>
      <w:color w:val="002E3B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3601E1"/>
    <w:rPr>
      <w:rFonts w:asciiTheme="majorHAnsi" w:eastAsiaTheme="majorEastAsia" w:hAnsiTheme="majorHAnsi" w:cstheme="majorBidi"/>
      <w:color w:val="002E3B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3601E1"/>
    <w:rPr>
      <w:rFonts w:asciiTheme="majorHAnsi" w:eastAsiaTheme="majorEastAsia" w:hAnsiTheme="majorHAnsi" w:cstheme="majorBidi"/>
      <w:i/>
      <w:iCs/>
      <w:color w:val="002E3B" w:themeColor="text1"/>
    </w:rPr>
  </w:style>
  <w:style w:type="paragraph" w:styleId="NoSpacing">
    <w:name w:val="No Spacing"/>
    <w:uiPriority w:val="1"/>
    <w:rsid w:val="00BC5062"/>
    <w:pPr>
      <w:spacing w:after="0" w:line="240" w:lineRule="auto"/>
    </w:pPr>
    <w:rPr>
      <w:color w:val="002E3B" w:themeColor="text1"/>
    </w:rPr>
  </w:style>
  <w:style w:type="paragraph" w:styleId="Subtitle">
    <w:name w:val="Subtitle"/>
    <w:basedOn w:val="Normal"/>
    <w:next w:val="Normal"/>
    <w:link w:val="SubtitleChar"/>
    <w:uiPriority w:val="11"/>
    <w:rsid w:val="00BC5062"/>
    <w:pPr>
      <w:numPr>
        <w:ilvl w:val="1"/>
      </w:numPr>
    </w:pPr>
    <w:rPr>
      <w:rFonts w:ascii="Georgia" w:eastAsiaTheme="minorEastAsia" w:hAnsi="Georgia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062"/>
    <w:rPr>
      <w:rFonts w:ascii="Georgia" w:eastAsiaTheme="minorEastAsia" w:hAnsi="Georgia"/>
      <w:color w:val="002E3B" w:themeColor="text1"/>
      <w:spacing w:val="15"/>
      <w:sz w:val="28"/>
    </w:rPr>
  </w:style>
  <w:style w:type="paragraph" w:styleId="ListParagraph">
    <w:name w:val="List Paragraph"/>
    <w:basedOn w:val="Normal"/>
    <w:uiPriority w:val="34"/>
    <w:qFormat/>
    <w:rsid w:val="00BC5062"/>
    <w:pPr>
      <w:ind w:left="720"/>
    </w:pPr>
  </w:style>
  <w:style w:type="table" w:styleId="TableGrid">
    <w:name w:val="Table Grid"/>
    <w:basedOn w:val="TableNormal"/>
    <w:uiPriority w:val="39"/>
    <w:rsid w:val="00BC5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C506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="Arial" w:hAnsi="Arial"/>
        <w:b/>
        <w:bCs/>
        <w:color w:val="43DE95" w:themeColor="accent1"/>
        <w:sz w:val="22"/>
      </w:rPr>
      <w:tblPr/>
      <w:tcPr>
        <w:shd w:val="clear" w:color="auto" w:fill="002E3B" w:themeFill="text1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rsid w:val="004544BA"/>
    <w:rPr>
      <w:rFonts w:ascii="Arial" w:hAnsi="Arial"/>
      <w:b/>
      <w:i/>
      <w:iCs/>
      <w:color w:val="F6BB47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4BA"/>
    <w:rPr>
      <w:rFonts w:asciiTheme="majorHAnsi" w:eastAsiaTheme="majorEastAsia" w:hAnsiTheme="majorHAnsi" w:cstheme="majorBidi"/>
      <w:color w:val="00637F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rsid w:val="004544BA"/>
    <w:pPr>
      <w:spacing w:after="0" w:line="240" w:lineRule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rsid w:val="004544BA"/>
    <w:rPr>
      <w:i/>
      <w:iCs/>
      <w:color w:val="0085AC" w:themeColor="text1" w:themeTint="BF"/>
    </w:rPr>
  </w:style>
  <w:style w:type="character" w:styleId="IntenseEmphasis">
    <w:name w:val="Intense Emphasis"/>
    <w:basedOn w:val="DefaultParagraphFont"/>
    <w:uiPriority w:val="21"/>
    <w:rsid w:val="004544BA"/>
    <w:rPr>
      <w:i/>
      <w:iCs/>
      <w:color w:val="43DE95" w:themeColor="accent1"/>
    </w:rPr>
  </w:style>
  <w:style w:type="character" w:styleId="Strong">
    <w:name w:val="Strong"/>
    <w:basedOn w:val="DefaultParagraphFont"/>
    <w:uiPriority w:val="22"/>
    <w:qFormat/>
    <w:rsid w:val="004544BA"/>
    <w:rPr>
      <w:rFonts w:ascii="Arial" w:hAnsi="Arial"/>
      <w:b/>
      <w:bCs/>
      <w:sz w:val="24"/>
    </w:rPr>
  </w:style>
  <w:style w:type="paragraph" w:styleId="Quote">
    <w:name w:val="Quote"/>
    <w:basedOn w:val="Normal"/>
    <w:next w:val="Normal"/>
    <w:link w:val="QuoteChar"/>
    <w:uiPriority w:val="29"/>
    <w:rsid w:val="004544BA"/>
    <w:pPr>
      <w:spacing w:before="200"/>
      <w:ind w:left="864" w:right="864"/>
      <w:jc w:val="center"/>
    </w:pPr>
    <w:rPr>
      <w:i/>
      <w:iCs/>
      <w:color w:val="0085AC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4BA"/>
    <w:rPr>
      <w:rFonts w:ascii="Arial" w:hAnsi="Arial"/>
      <w:i/>
      <w:iCs/>
      <w:color w:val="0085AC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4544BA"/>
    <w:pPr>
      <w:pBdr>
        <w:top w:val="single" w:sz="4" w:space="10" w:color="43DE95" w:themeColor="accent1"/>
        <w:bottom w:val="single" w:sz="4" w:space="10" w:color="43DE95" w:themeColor="accent1"/>
      </w:pBdr>
      <w:spacing w:before="360" w:after="360"/>
      <w:ind w:left="864" w:right="864"/>
      <w:jc w:val="center"/>
    </w:pPr>
    <w:rPr>
      <w:i/>
      <w:iCs/>
      <w:color w:val="43DE9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4BA"/>
    <w:rPr>
      <w:rFonts w:ascii="Arial" w:hAnsi="Arial"/>
      <w:i/>
      <w:iCs/>
      <w:color w:val="43DE95" w:themeColor="accent1"/>
      <w:sz w:val="24"/>
    </w:rPr>
  </w:style>
  <w:style w:type="character" w:styleId="SubtleReference">
    <w:name w:val="Subtle Reference"/>
    <w:basedOn w:val="DefaultParagraphFont"/>
    <w:uiPriority w:val="31"/>
    <w:rsid w:val="004544BA"/>
    <w:rPr>
      <w:rFonts w:ascii="Georgia" w:hAnsi="Georgia"/>
      <w:b/>
      <w:smallCaps/>
      <w:color w:val="002E3B"/>
      <w:sz w:val="28"/>
    </w:rPr>
  </w:style>
  <w:style w:type="character" w:styleId="IntenseReference">
    <w:name w:val="Intense Reference"/>
    <w:basedOn w:val="DefaultParagraphFont"/>
    <w:uiPriority w:val="32"/>
    <w:rsid w:val="00144920"/>
    <w:rPr>
      <w:rFonts w:ascii="Arial" w:hAnsi="Arial"/>
      <w:b/>
      <w:bCs/>
      <w:i w:val="0"/>
      <w:smallCaps/>
      <w:color w:val="00526B"/>
      <w:spacing w:val="5"/>
      <w:sz w:val="24"/>
    </w:rPr>
  </w:style>
  <w:style w:type="character" w:styleId="BookTitle">
    <w:name w:val="Book Title"/>
    <w:basedOn w:val="DefaultParagraphFont"/>
    <w:uiPriority w:val="33"/>
    <w:rsid w:val="00601E00"/>
    <w:rPr>
      <w:rFonts w:ascii="Georgia" w:hAnsi="Georgia"/>
      <w:b/>
      <w:bCs/>
      <w:i w:val="0"/>
      <w:iCs/>
      <w:color w:val="002E3B"/>
      <w:spacing w:val="5"/>
      <w:sz w:val="48"/>
    </w:rPr>
  </w:style>
  <w:style w:type="paragraph" w:customStyle="1" w:styleId="NoteEmphasis">
    <w:name w:val="Note Emphasis"/>
    <w:basedOn w:val="Normal"/>
    <w:next w:val="Normal"/>
    <w:link w:val="NoteEmphasisChar"/>
    <w:autoRedefine/>
    <w:uiPriority w:val="6"/>
    <w:qFormat/>
    <w:rsid w:val="009B61DA"/>
    <w:rPr>
      <w:b/>
      <w:bCs/>
      <w:i/>
      <w:iCs/>
      <w:color w:val="F6BB47"/>
    </w:rPr>
  </w:style>
  <w:style w:type="table" w:customStyle="1" w:styleId="PlainTable11">
    <w:name w:val="Plain Table 11"/>
    <w:basedOn w:val="TableNormal"/>
    <w:next w:val="PlainTable1"/>
    <w:uiPriority w:val="41"/>
    <w:rsid w:val="00DA106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="Arial" w:hAnsi="Arial"/>
        <w:b/>
        <w:bCs/>
        <w:color w:val="43DE95" w:themeColor="accent1"/>
        <w:sz w:val="22"/>
      </w:rPr>
      <w:tblPr/>
      <w:tcPr>
        <w:shd w:val="clear" w:color="auto" w:fill="002E3B" w:themeFill="text1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teEmphasisChar">
    <w:name w:val="Note Emphasis Char"/>
    <w:basedOn w:val="DefaultParagraphFont"/>
    <w:link w:val="NoteEmphasis"/>
    <w:uiPriority w:val="6"/>
    <w:rsid w:val="00DA1060"/>
    <w:rPr>
      <w:rFonts w:ascii="Arial" w:hAnsi="Arial"/>
      <w:b/>
      <w:bCs/>
      <w:i/>
      <w:iCs/>
      <w:color w:val="F6BB47"/>
      <w:sz w:val="24"/>
    </w:rPr>
  </w:style>
  <w:style w:type="paragraph" w:customStyle="1" w:styleId="Bullets">
    <w:name w:val="Bullets"/>
    <w:link w:val="BulletsChar"/>
    <w:uiPriority w:val="7"/>
    <w:qFormat/>
    <w:rsid w:val="00DA1060"/>
    <w:pPr>
      <w:numPr>
        <w:numId w:val="10"/>
      </w:numPr>
      <w:spacing w:before="120" w:after="120" w:line="240" w:lineRule="auto"/>
    </w:pPr>
    <w:rPr>
      <w:rFonts w:ascii="Arial" w:eastAsiaTheme="majorEastAsia" w:hAnsi="Arial" w:cstheme="majorBidi"/>
      <w:bCs/>
      <w:noProof/>
      <w:color w:val="00516B" w:themeColor="accent3"/>
      <w:spacing w:val="5"/>
      <w:kern w:val="28"/>
      <w:szCs w:val="44"/>
    </w:rPr>
  </w:style>
  <w:style w:type="character" w:customStyle="1" w:styleId="BulletsChar">
    <w:name w:val="Bullets Char"/>
    <w:basedOn w:val="DefaultParagraphFont"/>
    <w:link w:val="Bullets"/>
    <w:uiPriority w:val="7"/>
    <w:rsid w:val="00DA1060"/>
    <w:rPr>
      <w:rFonts w:ascii="Arial" w:eastAsiaTheme="majorEastAsia" w:hAnsi="Arial" w:cstheme="majorBidi"/>
      <w:bCs/>
      <w:noProof/>
      <w:color w:val="00516B" w:themeColor="accent3"/>
      <w:spacing w:val="5"/>
      <w:kern w:val="28"/>
      <w:szCs w:val="44"/>
    </w:rPr>
  </w:style>
  <w:style w:type="paragraph" w:customStyle="1" w:styleId="Head1">
    <w:name w:val="Head 1"/>
    <w:aliases w:val="Cont,Cont. 1"/>
    <w:link w:val="Head1Char"/>
    <w:uiPriority w:val="10"/>
    <w:semiHidden/>
    <w:qFormat/>
    <w:rsid w:val="00DA1060"/>
    <w:pPr>
      <w:spacing w:after="0" w:line="240" w:lineRule="auto"/>
    </w:pPr>
    <w:rPr>
      <w:rFonts w:ascii="Recoleta" w:eastAsiaTheme="majorEastAsia" w:hAnsi="Recoleta" w:cstheme="majorBidi"/>
      <w:b/>
      <w:bCs/>
      <w:color w:val="002E3B" w:themeColor="text1"/>
      <w:sz w:val="48"/>
      <w:szCs w:val="32"/>
    </w:rPr>
  </w:style>
  <w:style w:type="character" w:customStyle="1" w:styleId="Head1Char">
    <w:name w:val="Head 1 Char"/>
    <w:aliases w:val="Cont Char,Cont. 1 Char"/>
    <w:basedOn w:val="DefaultParagraphFont"/>
    <w:link w:val="Head1"/>
    <w:uiPriority w:val="10"/>
    <w:semiHidden/>
    <w:rsid w:val="00DA1060"/>
    <w:rPr>
      <w:rFonts w:ascii="Recoleta" w:eastAsiaTheme="majorEastAsia" w:hAnsi="Recoleta" w:cstheme="majorBidi"/>
      <w:b/>
      <w:bCs/>
      <w:color w:val="002E3B" w:themeColor="text1"/>
      <w:sz w:val="48"/>
      <w:szCs w:val="32"/>
    </w:rPr>
  </w:style>
  <w:style w:type="character" w:styleId="Hyperlink">
    <w:name w:val="Hyperlink"/>
    <w:basedOn w:val="DefaultParagraphFont"/>
    <w:uiPriority w:val="99"/>
    <w:unhideWhenUsed/>
    <w:rsid w:val="009B5137"/>
    <w:rPr>
      <w:color w:val="43DE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4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ewrez">
  <a:themeElements>
    <a:clrScheme name="Custom 2">
      <a:dk1>
        <a:srgbClr val="002E3B"/>
      </a:dk1>
      <a:lt1>
        <a:srgbClr val="FFFFFF"/>
      </a:lt1>
      <a:dk2>
        <a:srgbClr val="002E3B"/>
      </a:dk2>
      <a:lt2>
        <a:srgbClr val="E7E6E6"/>
      </a:lt2>
      <a:accent1>
        <a:srgbClr val="43DE95"/>
      </a:accent1>
      <a:accent2>
        <a:srgbClr val="A3D9E3"/>
      </a:accent2>
      <a:accent3>
        <a:srgbClr val="00516B"/>
      </a:accent3>
      <a:accent4>
        <a:srgbClr val="33806F"/>
      </a:accent4>
      <a:accent5>
        <a:srgbClr val="002E3B"/>
      </a:accent5>
      <a:accent6>
        <a:srgbClr val="EFEEF2"/>
      </a:accent6>
      <a:hlink>
        <a:srgbClr val="43DE94"/>
      </a:hlink>
      <a:folHlink>
        <a:srgbClr val="002E3B"/>
      </a:folHlink>
    </a:clrScheme>
    <a:fontScheme name="Newrez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ewrez" id="{991164C9-A2E9-4BA9-87B9-3EE1A5872FE0}" vid="{D7E9ECBC-2484-45C0-9723-A037A5E95D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b133df4-bcad-498a-8ef2-8d01beb80ae5" xsi:nil="true"/>
    <lcf76f155ced4ddcb4097134ff3c332f xmlns="d46e00d6-57af-4ee2-a48d-3c1c1c8b706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A56646B9D654DBF15A79DD7E1F84A" ma:contentTypeVersion="19" ma:contentTypeDescription="Create a new document." ma:contentTypeScope="" ma:versionID="0ca074b6582ac3897ad61f8e219cfd53">
  <xsd:schema xmlns:xsd="http://www.w3.org/2001/XMLSchema" xmlns:xs="http://www.w3.org/2001/XMLSchema" xmlns:p="http://schemas.microsoft.com/office/2006/metadata/properties" xmlns:ns1="http://schemas.microsoft.com/sharepoint/v3" xmlns:ns2="d46e00d6-57af-4ee2-a48d-3c1c1c8b706d" xmlns:ns3="eb133df4-bcad-498a-8ef2-8d01beb80ae5" targetNamespace="http://schemas.microsoft.com/office/2006/metadata/properties" ma:root="true" ma:fieldsID="e58dd138e4a74ff745bffbb1b519cacb" ns1:_="" ns2:_="" ns3:_="">
    <xsd:import namespace="http://schemas.microsoft.com/sharepoint/v3"/>
    <xsd:import namespace="d46e00d6-57af-4ee2-a48d-3c1c1c8b706d"/>
    <xsd:import namespace="eb133df4-bcad-498a-8ef2-8d01beb80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e00d6-57af-4ee2-a48d-3c1c1c8b7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1a35e8-12c6-424a-97ac-656eb05a19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33df4-bcad-498a-8ef2-8d01beb80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ec6e0f-ffd1-4497-89cf-b0e36bc33982}" ma:internalName="TaxCatchAll" ma:showField="CatchAllData" ma:web="eb133df4-bcad-498a-8ef2-8d01beb80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9BF93-7A7A-4D48-B237-DF18EA1E2D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133df4-bcad-498a-8ef2-8d01beb80ae5"/>
    <ds:schemaRef ds:uri="d46e00d6-57af-4ee2-a48d-3c1c1c8b706d"/>
  </ds:schemaRefs>
</ds:datastoreItem>
</file>

<file path=customXml/itemProps2.xml><?xml version="1.0" encoding="utf-8"?>
<ds:datastoreItem xmlns:ds="http://schemas.openxmlformats.org/officeDocument/2006/customXml" ds:itemID="{9B6D47AD-CB36-47F6-8CB2-F76D1A0D3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6e00d6-57af-4ee2-a48d-3c1c1c8b706d"/>
    <ds:schemaRef ds:uri="eb133df4-bcad-498a-8ef2-8d01beb80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DA248-C296-42D7-8CF2-E3DF7023A6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51fedc-dc3c-4e33-90ea-84bbaf578a3d}" enabled="1" method="Standard" siteId="{68c05827-e75e-4060-ae30-f37c77fc1f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Sheri</dc:creator>
  <cp:keywords/>
  <dc:description/>
  <cp:lastModifiedBy>Riley Gallagher</cp:lastModifiedBy>
  <cp:revision>2</cp:revision>
  <cp:lastPrinted>2026-01-16T21:15:00Z</cp:lastPrinted>
  <dcterms:created xsi:type="dcterms:W3CDTF">2026-04-28T14:55:00Z</dcterms:created>
  <dcterms:modified xsi:type="dcterms:W3CDTF">2026-04-28T14:55:00Z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0x010100AC4A56646B9D654DBF15A79DD7E1F84A</vt:lpwstr>
  </property>
  <property fmtid="{D5CDD505-2E9C-101B-9397-08002B2CF9AE}" pid="3" name="MSIP_Label_ce51fedc-dc3c-4e33-90ea-84bbaf578a3d_Enabled">
    <vt:lpwstr>true</vt:lpwstr>
  </property>
  <property fmtid="{D5CDD505-2E9C-101B-9397-08002B2CF9AE}" pid="4" name="MSIP_Label_ce51fedc-dc3c-4e33-90ea-84bbaf578a3d_SetDate">
    <vt:lpwstr>2025-03-06T21:35:48Z</vt:lpwstr>
  </property>
  <property fmtid="{D5CDD505-2E9C-101B-9397-08002B2CF9AE}" pid="5" name="MSIP_Label_ce51fedc-dc3c-4e33-90ea-84bbaf578a3d_Method">
    <vt:lpwstr>Standard</vt:lpwstr>
  </property>
  <property fmtid="{D5CDD505-2E9C-101B-9397-08002B2CF9AE}" pid="6" name="MSIP_Label_ce51fedc-dc3c-4e33-90ea-84bbaf578a3d_Name">
    <vt:lpwstr>NewRez Public</vt:lpwstr>
  </property>
  <property fmtid="{D5CDD505-2E9C-101B-9397-08002B2CF9AE}" pid="7" name="MSIP_Label_ce51fedc-dc3c-4e33-90ea-84bbaf578a3d_SiteId">
    <vt:lpwstr>68c05827-e75e-4060-ae30-f37c77fc1f70</vt:lpwstr>
  </property>
  <property fmtid="{D5CDD505-2E9C-101B-9397-08002B2CF9AE}" pid="8" name="MSIP_Label_ce51fedc-dc3c-4e33-90ea-84bbaf578a3d_ActionId">
    <vt:lpwstr>35cebf61-840c-45d7-93b2-50783ad0acca</vt:lpwstr>
  </property>
  <property fmtid="{D5CDD505-2E9C-101B-9397-08002B2CF9AE}" pid="9" name="MSIP_Label_ce51fedc-dc3c-4e33-90ea-84bbaf578a3d_ContentBits">
    <vt:lpwstr>0</vt:lpwstr>
  </property>
  <property fmtid="{D5CDD505-2E9C-101B-9397-08002B2CF9AE}" pid="10" name="MSIP_Label_ce51fedc-dc3c-4e33-90ea-84bbaf578a3d_Tag">
    <vt:lpwstr>10, 3, 0, 1</vt:lpwstr>
  </property>
</Properties>
</file>